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9"/>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84"/>
        <w:gridCol w:w="1281"/>
        <w:gridCol w:w="1735"/>
        <w:gridCol w:w="284"/>
        <w:gridCol w:w="2284"/>
        <w:gridCol w:w="796"/>
        <w:gridCol w:w="149"/>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157" w:type="dxa"/>
            <w:tcBorders>
              <w:top w:val="nil"/>
              <w:left w:val="nil"/>
              <w:bottom w:val="nil"/>
              <w:right w:val="nil"/>
            </w:tcBorders>
            <w:vAlign w:val="bottom"/>
          </w:tcPr>
          <w:p>
            <w:pPr>
              <w:pStyle w:val="42"/>
            </w:pPr>
            <w:bookmarkStart w:id="0" w:name="_Toc182202842"/>
            <w:bookmarkStart w:id="1" w:name="_Toc182202737"/>
            <w:r>
              <w:rPr>
                <w:rFonts w:hint="eastAsia"/>
                <w:b/>
                <w:bCs/>
                <w:sz w:val="30"/>
              </w:rPr>
              <w:br w:type="page"/>
            </w:r>
            <w:r>
              <w:rPr>
                <w:rFonts w:hint="eastAsia"/>
              </w:rPr>
              <w:t>分类号</w:t>
            </w:r>
          </w:p>
        </w:tc>
        <w:tc>
          <w:tcPr>
            <w:tcW w:w="1365" w:type="dxa"/>
            <w:gridSpan w:val="2"/>
            <w:tcBorders>
              <w:top w:val="nil"/>
              <w:left w:val="nil"/>
              <w:bottom w:val="dashSmallGap" w:color="auto" w:sz="4" w:space="0"/>
              <w:right w:val="nil"/>
            </w:tcBorders>
            <w:vAlign w:val="bottom"/>
          </w:tcPr>
          <w:p>
            <w:pPr>
              <w:pStyle w:val="42"/>
              <w:rPr>
                <w:b/>
                <w:bCs/>
              </w:rPr>
            </w:pPr>
          </w:p>
        </w:tc>
        <w:tc>
          <w:tcPr>
            <w:tcW w:w="4303" w:type="dxa"/>
            <w:gridSpan w:val="3"/>
            <w:tcBorders>
              <w:top w:val="nil"/>
              <w:left w:val="nil"/>
              <w:bottom w:val="nil"/>
              <w:right w:val="nil"/>
            </w:tcBorders>
            <w:vAlign w:val="bottom"/>
          </w:tcPr>
          <w:p>
            <w:pPr>
              <w:pStyle w:val="42"/>
            </w:pPr>
          </w:p>
        </w:tc>
        <w:tc>
          <w:tcPr>
            <w:tcW w:w="945" w:type="dxa"/>
            <w:gridSpan w:val="2"/>
            <w:tcBorders>
              <w:top w:val="nil"/>
              <w:left w:val="nil"/>
              <w:bottom w:val="nil"/>
              <w:right w:val="nil"/>
            </w:tcBorders>
            <w:vAlign w:val="bottom"/>
          </w:tcPr>
          <w:p>
            <w:pPr>
              <w:pStyle w:val="42"/>
            </w:pPr>
            <w:r>
              <w:rPr>
                <w:rFonts w:hint="eastAsia"/>
              </w:rPr>
              <w:t>密 级</w:t>
            </w:r>
          </w:p>
        </w:tc>
        <w:tc>
          <w:tcPr>
            <w:tcW w:w="1365" w:type="dxa"/>
            <w:tcBorders>
              <w:top w:val="nil"/>
              <w:left w:val="nil"/>
              <w:bottom w:val="dashSmallGap" w:color="auto" w:sz="4" w:space="0"/>
              <w:right w:val="nil"/>
            </w:tcBorders>
            <w:vAlign w:val="bottom"/>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157" w:type="dxa"/>
            <w:tcBorders>
              <w:top w:val="nil"/>
              <w:left w:val="nil"/>
              <w:bottom w:val="nil"/>
              <w:right w:val="nil"/>
            </w:tcBorders>
            <w:vAlign w:val="bottom"/>
          </w:tcPr>
          <w:p>
            <w:pPr>
              <w:pStyle w:val="42"/>
            </w:pPr>
            <w:r>
              <w:rPr>
                <w:rFonts w:hint="eastAsia"/>
              </w:rPr>
              <w:t>U D C</w:t>
            </w:r>
          </w:p>
        </w:tc>
        <w:tc>
          <w:tcPr>
            <w:tcW w:w="1365" w:type="dxa"/>
            <w:gridSpan w:val="2"/>
            <w:tcBorders>
              <w:top w:val="dashSmallGap" w:color="auto" w:sz="4" w:space="0"/>
              <w:left w:val="nil"/>
              <w:bottom w:val="dashSmallGap" w:color="auto" w:sz="4" w:space="0"/>
              <w:right w:val="nil"/>
            </w:tcBorders>
            <w:vAlign w:val="bottom"/>
          </w:tcPr>
          <w:p>
            <w:pPr>
              <w:pStyle w:val="42"/>
            </w:pPr>
          </w:p>
        </w:tc>
        <w:tc>
          <w:tcPr>
            <w:tcW w:w="4303" w:type="dxa"/>
            <w:gridSpan w:val="3"/>
            <w:tcBorders>
              <w:top w:val="nil"/>
              <w:left w:val="nil"/>
              <w:bottom w:val="nil"/>
              <w:right w:val="nil"/>
            </w:tcBorders>
            <w:vAlign w:val="bottom"/>
          </w:tcPr>
          <w:p>
            <w:pPr>
              <w:pStyle w:val="42"/>
            </w:pPr>
          </w:p>
        </w:tc>
        <w:tc>
          <w:tcPr>
            <w:tcW w:w="945" w:type="dxa"/>
            <w:gridSpan w:val="2"/>
            <w:tcBorders>
              <w:top w:val="nil"/>
              <w:left w:val="nil"/>
              <w:bottom w:val="nil"/>
              <w:right w:val="nil"/>
            </w:tcBorders>
            <w:vAlign w:val="bottom"/>
          </w:tcPr>
          <w:p>
            <w:pPr>
              <w:pStyle w:val="42"/>
            </w:pPr>
            <w:r>
              <w:rPr>
                <w:rFonts w:hint="eastAsia"/>
              </w:rPr>
              <w:t>编 号</w:t>
            </w:r>
          </w:p>
        </w:tc>
        <w:tc>
          <w:tcPr>
            <w:tcW w:w="1365" w:type="dxa"/>
            <w:tcBorders>
              <w:top w:val="dashSmallGap" w:color="auto" w:sz="4" w:space="0"/>
              <w:left w:val="nil"/>
              <w:bottom w:val="dashSmallGap" w:color="auto" w:sz="4" w:space="0"/>
              <w:right w:val="nil"/>
            </w:tcBorders>
            <w:vAlign w:val="bottom"/>
          </w:tcPr>
          <w:p>
            <w:pPr>
              <w:pStyle w:val="42"/>
              <w:rPr>
                <w:rFonts w:hint="default" w:eastAsia="仿宋_GB2312"/>
                <w:lang w:val="en-US" w:eastAsia="zh-CN"/>
              </w:rPr>
            </w:pPr>
            <w:r>
              <w:rPr>
                <w:rFonts w:hint="eastAsia"/>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135" w:type="dxa"/>
            <w:gridSpan w:val="9"/>
            <w:tcBorders>
              <w:top w:val="nil"/>
              <w:left w:val="nil"/>
              <w:bottom w:val="nil"/>
              <w:right w:val="nil"/>
            </w:tcBorders>
          </w:tcPr>
          <w:p>
            <w:pPr>
              <w:pStyle w:val="42"/>
              <w:rPr>
                <w:sz w:val="44"/>
              </w:rPr>
            </w:pPr>
          </w:p>
          <w:p>
            <w:pPr>
              <w:pStyle w:val="42"/>
              <w:rPr>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5" w:type="dxa"/>
            <w:gridSpan w:val="9"/>
            <w:tcBorders>
              <w:top w:val="nil"/>
              <w:left w:val="nil"/>
              <w:bottom w:val="nil"/>
              <w:right w:val="nil"/>
            </w:tcBorders>
          </w:tcPr>
          <w:p>
            <w:pPr>
              <w:pStyle w:val="45"/>
              <w:rPr>
                <w:color w:val="000000"/>
              </w:rPr>
            </w:pPr>
            <w:r>
              <w:drawing>
                <wp:inline distT="0" distB="0" distL="0" distR="0">
                  <wp:extent cx="1057275" cy="460375"/>
                  <wp:effectExtent l="0" t="0" r="9525" b="15875"/>
                  <wp:docPr id="1" name="图片 1" descr="C:\Users\liutianjiao\Desktop\TIM图片20191230192855.pngTIM图片2019123019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iutianjiao\Desktop\TIM图片20191230192855.pngTIM图片20191230192855"/>
                          <pic:cNvPicPr>
                            <a:picLocks noChangeAspect="1" noChangeArrowheads="1"/>
                          </pic:cNvPicPr>
                        </pic:nvPicPr>
                        <pic:blipFill>
                          <a:blip r:embed="rId22"/>
                          <a:srcRect/>
                          <a:stretch>
                            <a:fillRect/>
                          </a:stretch>
                        </pic:blipFill>
                        <pic:spPr>
                          <a:xfrm>
                            <a:off x="0" y="0"/>
                            <a:ext cx="1057275" cy="460375"/>
                          </a:xfrm>
                          <a:prstGeom prst="rect">
                            <a:avLst/>
                          </a:prstGeom>
                          <a:noFill/>
                          <a:ln>
                            <a:noFill/>
                          </a:ln>
                        </pic:spPr>
                      </pic:pic>
                    </a:graphicData>
                  </a:graphic>
                </wp:inline>
              </w:drawing>
            </w:r>
          </w:p>
          <w:p>
            <w:pPr>
              <w:pStyle w:val="45"/>
              <w:rPr>
                <w:b/>
                <w:color w:val="000000"/>
              </w:rPr>
            </w:pPr>
            <w:r>
              <w:rPr>
                <w:rFonts w:hint="eastAsia"/>
                <w:b/>
                <w:color w:val="000000"/>
                <w:sz w:val="56"/>
                <w:szCs w:val="56"/>
                <w:lang w:val="en-US" w:eastAsia="zh-CN"/>
              </w:rPr>
              <w:t>学</w:t>
            </w:r>
            <w:r>
              <w:rPr>
                <w:rFonts w:hint="eastAsia"/>
                <w:b/>
                <w:color w:val="000000"/>
                <w:sz w:val="56"/>
                <w:szCs w:val="56"/>
              </w:rPr>
              <w:t xml:space="preserve">  士  学  位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9135" w:type="dxa"/>
            <w:gridSpan w:val="9"/>
            <w:tcBorders>
              <w:top w:val="nil"/>
              <w:left w:val="nil"/>
              <w:bottom w:val="nil"/>
              <w:right w:val="nil"/>
            </w:tcBorders>
          </w:tcPr>
          <w:p>
            <w:pPr>
              <w:adjustRightInd w:val="0"/>
              <w:snapToGrid w:val="0"/>
              <w:jc w:val="center"/>
              <w:rPr>
                <w:color w:val="000000"/>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jc w:val="center"/>
        </w:trPr>
        <w:tc>
          <w:tcPr>
            <w:tcW w:w="9135" w:type="dxa"/>
            <w:gridSpan w:val="9"/>
            <w:tcBorders>
              <w:top w:val="nil"/>
              <w:left w:val="nil"/>
              <w:bottom w:val="nil"/>
              <w:right w:val="nil"/>
            </w:tcBorders>
          </w:tcPr>
          <w:p>
            <w:pPr>
              <w:pStyle w:val="44"/>
              <w:rPr>
                <w:rFonts w:hint="default"/>
                <w:lang w:val="en-US"/>
              </w:rPr>
            </w:pPr>
            <w:r>
              <w:rPr>
                <w:rFonts w:hint="eastAsia"/>
                <w:lang w:val="en-US" w:eastAsia="zh-CN"/>
              </w:rPr>
              <w:t>商品房买卖中几个问题的探讨</w:t>
            </w:r>
          </w:p>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241" w:type="dxa"/>
            <w:gridSpan w:val="2"/>
            <w:vMerge w:val="restart"/>
            <w:tcBorders>
              <w:top w:val="nil"/>
              <w:left w:val="nil"/>
              <w:bottom w:val="nil"/>
              <w:right w:val="nil"/>
            </w:tcBorders>
            <w:vAlign w:val="center"/>
          </w:tcPr>
          <w:p>
            <w:pPr>
              <w:adjustRightInd w:val="0"/>
              <w:snapToGrid w:val="0"/>
              <w:rPr>
                <w:rFonts w:hint="eastAsia" w:eastAsia="楷体_GB2312"/>
                <w:color w:val="000000"/>
                <w:sz w:val="52"/>
              </w:rPr>
            </w:pPr>
          </w:p>
        </w:tc>
        <w:tc>
          <w:tcPr>
            <w:tcW w:w="3016" w:type="dxa"/>
            <w:gridSpan w:val="2"/>
            <w:tcBorders>
              <w:top w:val="nil"/>
              <w:left w:val="nil"/>
              <w:bottom w:val="nil"/>
              <w:right w:val="nil"/>
            </w:tcBorders>
            <w:vAlign w:val="center"/>
          </w:tcPr>
          <w:p>
            <w:pPr>
              <w:pStyle w:val="46"/>
              <w:ind w:firstLine="0" w:firstLineChars="0"/>
            </w:pPr>
            <w:r>
              <w:rPr>
                <w:rFonts w:hint="eastAsia"/>
                <w:lang w:val="en-US" w:eastAsia="zh-CN"/>
              </w:rPr>
              <w:t>学   生</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姓</w:t>
            </w:r>
            <w:r>
              <w:rPr>
                <w:rFonts w:hint="eastAsia"/>
                <w:lang w:val="en-US" w:eastAsia="zh-CN"/>
              </w:rPr>
              <w:t xml:space="preserve"> </w:t>
            </w:r>
            <w:r>
              <w:rPr>
                <w:rFonts w:hint="eastAsia"/>
              </w:rPr>
              <w:t xml:space="preserve">  名：</w:t>
            </w:r>
          </w:p>
        </w:tc>
        <w:tc>
          <w:tcPr>
            <w:tcW w:w="284" w:type="dxa"/>
            <w:tcBorders>
              <w:top w:val="nil"/>
              <w:left w:val="nil"/>
              <w:bottom w:val="nil"/>
              <w:right w:val="nil"/>
            </w:tcBorders>
            <w:vAlign w:val="center"/>
          </w:tcPr>
          <w:p>
            <w:pPr>
              <w:pStyle w:val="46"/>
              <w:ind w:firstLine="1960"/>
            </w:pPr>
            <w:r>
              <w:rPr>
                <w:rFonts w:hint="eastAsia"/>
              </w:rPr>
              <w:t>：</w:t>
            </w:r>
          </w:p>
        </w:tc>
        <w:tc>
          <w:tcPr>
            <w:tcW w:w="3080" w:type="dxa"/>
            <w:gridSpan w:val="2"/>
            <w:tcBorders>
              <w:top w:val="nil"/>
              <w:left w:val="nil"/>
              <w:bottom w:val="nil"/>
              <w:right w:val="nil"/>
            </w:tcBorders>
            <w:vAlign w:val="center"/>
          </w:tcPr>
          <w:p>
            <w:pPr>
              <w:pStyle w:val="46"/>
              <w:ind w:firstLine="0" w:firstLineChars="0"/>
              <w:jc w:val="left"/>
              <w:rPr>
                <w:spacing w:val="20"/>
              </w:rPr>
            </w:pPr>
            <w:r>
              <w:rPr>
                <w:rFonts w:hint="eastAsia"/>
                <w:spacing w:val="20"/>
                <w:lang w:val="en-US" w:eastAsia="zh-CN"/>
              </w:rPr>
              <w:t>王小宁</w:t>
            </w:r>
            <w:r>
              <w:rPr>
                <w:spacing w:val="20"/>
              </w:rPr>
              <w:t xml:space="preserve">  </w:t>
            </w:r>
          </w:p>
        </w:tc>
        <w:tc>
          <w:tcPr>
            <w:tcW w:w="1514" w:type="dxa"/>
            <w:gridSpan w:val="2"/>
            <w:vMerge w:val="restart"/>
            <w:tcBorders>
              <w:top w:val="nil"/>
              <w:left w:val="nil"/>
              <w:bottom w:val="nil"/>
              <w:right w:val="nil"/>
            </w:tcBorders>
            <w:vAlign w:val="center"/>
          </w:tcPr>
          <w:p>
            <w:pPr>
              <w:adjustRightInd w:val="0"/>
              <w:snapToGrid w:val="0"/>
              <w:rPr>
                <w:rFonts w:hint="eastAsia" w:eastAsia="楷体_GB2312"/>
                <w:color w:val="000000"/>
                <w:sz w:val="5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241" w:type="dxa"/>
            <w:gridSpan w:val="2"/>
            <w:vMerge w:val="continue"/>
            <w:tcBorders>
              <w:top w:val="nil"/>
              <w:left w:val="nil"/>
              <w:bottom w:val="nil"/>
              <w:right w:val="nil"/>
            </w:tcBorders>
            <w:vAlign w:val="center"/>
          </w:tcPr>
          <w:p>
            <w:pPr>
              <w:widowControl/>
              <w:jc w:val="left"/>
              <w:rPr>
                <w:rFonts w:eastAsia="楷体_GB2312"/>
                <w:color w:val="000000"/>
                <w:sz w:val="52"/>
              </w:rPr>
            </w:pPr>
          </w:p>
        </w:tc>
        <w:tc>
          <w:tcPr>
            <w:tcW w:w="3016" w:type="dxa"/>
            <w:gridSpan w:val="2"/>
            <w:tcBorders>
              <w:top w:val="nil"/>
              <w:left w:val="nil"/>
              <w:bottom w:val="nil"/>
              <w:right w:val="nil"/>
            </w:tcBorders>
            <w:vAlign w:val="center"/>
          </w:tcPr>
          <w:p>
            <w:pPr>
              <w:pStyle w:val="46"/>
              <w:ind w:firstLine="0" w:firstLineChars="0"/>
            </w:pPr>
            <w:r>
              <w:rPr>
                <w:rFonts w:hint="eastAsia"/>
              </w:rPr>
              <w:t xml:space="preserve">学            </w:t>
            </w:r>
            <w:r>
              <w:t xml:space="preserve"> </w:t>
            </w:r>
            <w:r>
              <w:rPr>
                <w:rFonts w:hint="eastAsia"/>
              </w:rPr>
              <w:t xml:space="preserve"> 号：</w:t>
            </w:r>
          </w:p>
        </w:tc>
        <w:tc>
          <w:tcPr>
            <w:tcW w:w="284" w:type="dxa"/>
            <w:tcBorders>
              <w:top w:val="nil"/>
              <w:left w:val="nil"/>
              <w:bottom w:val="nil"/>
              <w:right w:val="nil"/>
            </w:tcBorders>
            <w:vAlign w:val="center"/>
          </w:tcPr>
          <w:p>
            <w:pPr>
              <w:pStyle w:val="46"/>
              <w:ind w:firstLine="1960"/>
            </w:pPr>
            <w:r>
              <w:rPr>
                <w:rFonts w:hint="eastAsia"/>
              </w:rPr>
              <w:t>：</w:t>
            </w:r>
          </w:p>
        </w:tc>
        <w:tc>
          <w:tcPr>
            <w:tcW w:w="3080" w:type="dxa"/>
            <w:gridSpan w:val="2"/>
            <w:tcBorders>
              <w:top w:val="nil"/>
              <w:left w:val="nil"/>
              <w:bottom w:val="nil"/>
              <w:right w:val="nil"/>
            </w:tcBorders>
            <w:vAlign w:val="center"/>
          </w:tcPr>
          <w:p>
            <w:pPr>
              <w:pStyle w:val="46"/>
              <w:ind w:firstLine="0" w:firstLineChars="0"/>
              <w:jc w:val="both"/>
              <w:rPr>
                <w:rFonts w:hint="default" w:eastAsia="宋体"/>
                <w:lang w:val="en-US" w:eastAsia="zh-CN"/>
              </w:rPr>
            </w:pPr>
            <w:r>
              <w:rPr>
                <w:rFonts w:hint="eastAsia"/>
                <w:lang w:val="en-US" w:eastAsia="zh-CN"/>
              </w:rPr>
              <w:t>2025007</w:t>
            </w:r>
          </w:p>
        </w:tc>
        <w:tc>
          <w:tcPr>
            <w:tcW w:w="1514" w:type="dxa"/>
            <w:gridSpan w:val="2"/>
            <w:vMerge w:val="continue"/>
            <w:tcBorders>
              <w:top w:val="nil"/>
              <w:left w:val="nil"/>
              <w:bottom w:val="nil"/>
              <w:right w:val="nil"/>
            </w:tcBorders>
            <w:vAlign w:val="center"/>
          </w:tcPr>
          <w:p>
            <w:pPr>
              <w:widowControl/>
              <w:jc w:val="distribute"/>
              <w:rPr>
                <w:rFonts w:eastAsia="楷体_GB2312"/>
                <w:color w:val="000000"/>
                <w:sz w:val="5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241" w:type="dxa"/>
            <w:gridSpan w:val="2"/>
            <w:vMerge w:val="continue"/>
            <w:tcBorders>
              <w:top w:val="nil"/>
              <w:left w:val="nil"/>
              <w:bottom w:val="nil"/>
              <w:right w:val="nil"/>
            </w:tcBorders>
            <w:vAlign w:val="center"/>
          </w:tcPr>
          <w:p>
            <w:pPr>
              <w:widowControl/>
              <w:jc w:val="left"/>
              <w:rPr>
                <w:rFonts w:eastAsia="楷体_GB2312"/>
                <w:color w:val="000000"/>
                <w:sz w:val="52"/>
              </w:rPr>
            </w:pPr>
          </w:p>
        </w:tc>
        <w:tc>
          <w:tcPr>
            <w:tcW w:w="3016" w:type="dxa"/>
            <w:gridSpan w:val="2"/>
            <w:tcBorders>
              <w:top w:val="nil"/>
              <w:left w:val="nil"/>
              <w:bottom w:val="nil"/>
              <w:right w:val="nil"/>
            </w:tcBorders>
            <w:vAlign w:val="center"/>
          </w:tcPr>
          <w:p>
            <w:pPr>
              <w:pStyle w:val="46"/>
              <w:ind w:firstLine="0" w:firstLineChars="0"/>
            </w:pPr>
            <w:r>
              <w:rPr>
                <w:rFonts w:hint="eastAsia"/>
              </w:rPr>
              <w:t>指导教师姓名</w:t>
            </w:r>
            <w:r>
              <w:rPr>
                <w:rFonts w:hint="eastAsia"/>
                <w:lang w:val="en-US" w:eastAsia="zh-CN"/>
              </w:rPr>
              <w:t>及</w:t>
            </w:r>
            <w:r>
              <w:rPr>
                <w:rFonts w:hint="eastAsia"/>
              </w:rPr>
              <w:t>职称：</w:t>
            </w:r>
          </w:p>
        </w:tc>
        <w:tc>
          <w:tcPr>
            <w:tcW w:w="284" w:type="dxa"/>
            <w:tcBorders>
              <w:top w:val="nil"/>
              <w:left w:val="nil"/>
              <w:bottom w:val="nil"/>
              <w:right w:val="nil"/>
            </w:tcBorders>
            <w:vAlign w:val="center"/>
          </w:tcPr>
          <w:p>
            <w:pPr>
              <w:pStyle w:val="46"/>
              <w:ind w:firstLine="1960"/>
            </w:pPr>
            <w:r>
              <w:rPr>
                <w:rFonts w:hint="eastAsia"/>
              </w:rPr>
              <w:t>：</w:t>
            </w:r>
          </w:p>
        </w:tc>
        <w:tc>
          <w:tcPr>
            <w:tcW w:w="3080" w:type="dxa"/>
            <w:gridSpan w:val="2"/>
            <w:tcBorders>
              <w:top w:val="nil"/>
              <w:left w:val="nil"/>
              <w:bottom w:val="nil"/>
              <w:right w:val="nil"/>
            </w:tcBorders>
            <w:vAlign w:val="center"/>
          </w:tcPr>
          <w:p>
            <w:pPr>
              <w:pStyle w:val="46"/>
              <w:ind w:firstLine="0" w:firstLineChars="0"/>
              <w:rPr>
                <w:rFonts w:hint="default" w:eastAsia="宋体"/>
                <w:lang w:val="en-US" w:eastAsia="zh-CN"/>
              </w:rPr>
            </w:pPr>
            <w:r>
              <w:rPr>
                <w:rFonts w:hint="eastAsia"/>
                <w:lang w:val="en-US" w:eastAsia="zh-CN"/>
              </w:rPr>
              <w:t>马小明教授</w:t>
            </w:r>
          </w:p>
        </w:tc>
        <w:tc>
          <w:tcPr>
            <w:tcW w:w="1514" w:type="dxa"/>
            <w:gridSpan w:val="2"/>
            <w:vMerge w:val="continue"/>
            <w:tcBorders>
              <w:top w:val="nil"/>
              <w:left w:val="nil"/>
              <w:bottom w:val="nil"/>
              <w:right w:val="nil"/>
            </w:tcBorders>
            <w:vAlign w:val="center"/>
          </w:tcPr>
          <w:p>
            <w:pPr>
              <w:widowControl/>
              <w:jc w:val="distribute"/>
              <w:rPr>
                <w:rFonts w:eastAsia="楷体_GB2312"/>
                <w:color w:val="000000"/>
                <w:sz w:val="5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241" w:type="dxa"/>
            <w:gridSpan w:val="2"/>
            <w:vMerge w:val="continue"/>
            <w:tcBorders>
              <w:top w:val="nil"/>
              <w:left w:val="nil"/>
              <w:bottom w:val="nil"/>
              <w:right w:val="nil"/>
            </w:tcBorders>
            <w:vAlign w:val="center"/>
          </w:tcPr>
          <w:p>
            <w:pPr>
              <w:widowControl/>
              <w:jc w:val="left"/>
              <w:rPr>
                <w:rFonts w:eastAsia="楷体_GB2312"/>
                <w:color w:val="000000"/>
                <w:sz w:val="52"/>
              </w:rPr>
            </w:pPr>
          </w:p>
        </w:tc>
        <w:tc>
          <w:tcPr>
            <w:tcW w:w="3016" w:type="dxa"/>
            <w:gridSpan w:val="2"/>
            <w:tcBorders>
              <w:top w:val="nil"/>
              <w:left w:val="nil"/>
              <w:bottom w:val="nil"/>
              <w:right w:val="nil"/>
            </w:tcBorders>
            <w:vAlign w:val="center"/>
          </w:tcPr>
          <w:p>
            <w:pPr>
              <w:pStyle w:val="46"/>
              <w:ind w:firstLine="0" w:firstLineChars="0"/>
            </w:pPr>
            <w:r>
              <w:rPr>
                <w:rFonts w:hint="eastAsia"/>
              </w:rPr>
              <w:t xml:space="preserve">专   业   名  </w:t>
            </w:r>
            <w:r>
              <w:t xml:space="preserve"> </w:t>
            </w:r>
            <w:r>
              <w:rPr>
                <w:rFonts w:hint="eastAsia"/>
              </w:rPr>
              <w:t xml:space="preserve"> 称：</w:t>
            </w:r>
          </w:p>
        </w:tc>
        <w:tc>
          <w:tcPr>
            <w:tcW w:w="284" w:type="dxa"/>
            <w:tcBorders>
              <w:top w:val="nil"/>
              <w:left w:val="nil"/>
              <w:bottom w:val="nil"/>
              <w:right w:val="nil"/>
            </w:tcBorders>
            <w:vAlign w:val="center"/>
          </w:tcPr>
          <w:p>
            <w:pPr>
              <w:pStyle w:val="46"/>
              <w:ind w:firstLine="1960"/>
            </w:pPr>
            <w:r>
              <w:rPr>
                <w:rFonts w:hint="eastAsia"/>
              </w:rPr>
              <w:t>：</w:t>
            </w:r>
          </w:p>
        </w:tc>
        <w:tc>
          <w:tcPr>
            <w:tcW w:w="3080" w:type="dxa"/>
            <w:gridSpan w:val="2"/>
            <w:tcBorders>
              <w:top w:val="nil"/>
              <w:left w:val="nil"/>
              <w:bottom w:val="nil"/>
              <w:right w:val="nil"/>
            </w:tcBorders>
            <w:vAlign w:val="center"/>
          </w:tcPr>
          <w:p>
            <w:pPr>
              <w:pStyle w:val="46"/>
              <w:ind w:firstLine="0" w:firstLineChars="0"/>
              <w:rPr>
                <w:rFonts w:hint="eastAsia" w:eastAsia="宋体"/>
                <w:lang w:val="en-US" w:eastAsia="zh-CN"/>
              </w:rPr>
            </w:pPr>
            <w:r>
              <w:rPr>
                <w:rFonts w:hint="eastAsia"/>
                <w:lang w:val="en-US" w:eastAsia="zh-CN"/>
              </w:rPr>
              <w:t>房地产</w:t>
            </w:r>
          </w:p>
        </w:tc>
        <w:tc>
          <w:tcPr>
            <w:tcW w:w="1514" w:type="dxa"/>
            <w:gridSpan w:val="2"/>
            <w:vMerge w:val="continue"/>
            <w:tcBorders>
              <w:top w:val="nil"/>
              <w:left w:val="nil"/>
              <w:bottom w:val="nil"/>
              <w:right w:val="nil"/>
            </w:tcBorders>
            <w:vAlign w:val="center"/>
          </w:tcPr>
          <w:p>
            <w:pPr>
              <w:widowControl/>
              <w:jc w:val="distribute"/>
              <w:rPr>
                <w:rFonts w:eastAsia="楷体_GB2312"/>
                <w:color w:val="000000"/>
                <w:sz w:val="5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241" w:type="dxa"/>
            <w:gridSpan w:val="2"/>
            <w:vMerge w:val="continue"/>
            <w:tcBorders>
              <w:top w:val="nil"/>
              <w:left w:val="nil"/>
              <w:bottom w:val="nil"/>
              <w:right w:val="nil"/>
            </w:tcBorders>
            <w:vAlign w:val="center"/>
          </w:tcPr>
          <w:p>
            <w:pPr>
              <w:widowControl/>
              <w:jc w:val="left"/>
              <w:rPr>
                <w:rFonts w:eastAsia="楷体_GB2312"/>
                <w:color w:val="000000"/>
                <w:sz w:val="52"/>
              </w:rPr>
            </w:pPr>
          </w:p>
        </w:tc>
        <w:tc>
          <w:tcPr>
            <w:tcW w:w="3016" w:type="dxa"/>
            <w:gridSpan w:val="2"/>
            <w:tcBorders>
              <w:top w:val="nil"/>
              <w:left w:val="nil"/>
              <w:bottom w:val="nil"/>
              <w:right w:val="nil"/>
            </w:tcBorders>
            <w:vAlign w:val="center"/>
          </w:tcPr>
          <w:p>
            <w:pPr>
              <w:pStyle w:val="46"/>
              <w:ind w:firstLine="0" w:firstLineChars="0"/>
            </w:pPr>
            <w:r>
              <w:rPr>
                <w:rFonts w:hint="eastAsia"/>
              </w:rPr>
              <w:t xml:space="preserve">研   究   方  </w:t>
            </w:r>
            <w:r>
              <w:t xml:space="preserve"> </w:t>
            </w:r>
            <w:r>
              <w:rPr>
                <w:rFonts w:hint="eastAsia"/>
              </w:rPr>
              <w:t xml:space="preserve"> 向：</w:t>
            </w:r>
          </w:p>
        </w:tc>
        <w:tc>
          <w:tcPr>
            <w:tcW w:w="284" w:type="dxa"/>
            <w:tcBorders>
              <w:top w:val="nil"/>
              <w:left w:val="nil"/>
              <w:bottom w:val="nil"/>
              <w:right w:val="nil"/>
            </w:tcBorders>
            <w:vAlign w:val="center"/>
          </w:tcPr>
          <w:p>
            <w:pPr>
              <w:pStyle w:val="46"/>
              <w:ind w:firstLine="1960"/>
            </w:pPr>
            <w:r>
              <w:rPr>
                <w:rFonts w:hint="eastAsia"/>
              </w:rPr>
              <w:t>：</w:t>
            </w:r>
          </w:p>
        </w:tc>
        <w:tc>
          <w:tcPr>
            <w:tcW w:w="3080" w:type="dxa"/>
            <w:gridSpan w:val="2"/>
            <w:tcBorders>
              <w:top w:val="nil"/>
              <w:left w:val="nil"/>
              <w:bottom w:val="nil"/>
              <w:right w:val="nil"/>
            </w:tcBorders>
            <w:vAlign w:val="center"/>
          </w:tcPr>
          <w:p>
            <w:pPr>
              <w:pStyle w:val="46"/>
              <w:ind w:firstLine="0" w:firstLineChars="0"/>
              <w:rPr>
                <w:rFonts w:hint="default" w:eastAsia="宋体"/>
                <w:lang w:val="en-US" w:eastAsia="zh-CN"/>
              </w:rPr>
            </w:pPr>
            <w:r>
              <w:rPr>
                <w:rFonts w:hint="eastAsia"/>
                <w:lang w:val="en-US" w:eastAsia="zh-CN"/>
              </w:rPr>
              <w:t>商品房买卖</w:t>
            </w:r>
          </w:p>
        </w:tc>
        <w:tc>
          <w:tcPr>
            <w:tcW w:w="1514" w:type="dxa"/>
            <w:gridSpan w:val="2"/>
            <w:vMerge w:val="continue"/>
            <w:tcBorders>
              <w:top w:val="nil"/>
              <w:left w:val="nil"/>
              <w:bottom w:val="nil"/>
              <w:right w:val="nil"/>
            </w:tcBorders>
            <w:vAlign w:val="center"/>
          </w:tcPr>
          <w:p>
            <w:pPr>
              <w:widowControl/>
              <w:jc w:val="distribute"/>
              <w:rPr>
                <w:rFonts w:eastAsia="楷体_GB2312"/>
                <w:color w:val="000000"/>
                <w:sz w:val="5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9135" w:type="dxa"/>
            <w:gridSpan w:val="9"/>
            <w:tcBorders>
              <w:top w:val="nil"/>
              <w:left w:val="nil"/>
              <w:bottom w:val="nil"/>
              <w:right w:val="nil"/>
            </w:tcBorders>
          </w:tcPr>
          <w:p>
            <w:pPr>
              <w:pStyle w:val="43"/>
              <w:jc w:val="both"/>
            </w:pPr>
          </w:p>
          <w:p>
            <w:pPr>
              <w:pStyle w:val="43"/>
            </w:pPr>
            <w:r>
              <w:rPr>
                <w:rFonts w:hint="eastAsia"/>
              </w:rPr>
              <w:t>二〇</w:t>
            </w:r>
            <w:r>
              <w:rPr>
                <w:rFonts w:hint="eastAsia"/>
                <w:lang w:val="en-US" w:eastAsia="zh-CN"/>
              </w:rPr>
              <w:t>二五</w:t>
            </w:r>
            <w:r>
              <w:rPr>
                <w:rFonts w:hint="eastAsia"/>
              </w:rPr>
              <w:t>年</w:t>
            </w:r>
            <w:r>
              <w:rPr>
                <w:rFonts w:hint="eastAsia"/>
                <w:lang w:val="en-US" w:eastAsia="zh-CN"/>
              </w:rPr>
              <w:t>六</w:t>
            </w:r>
            <w:r>
              <w:rPr>
                <w:rFonts w:hint="eastAsia"/>
              </w:rPr>
              <w:t>月</w:t>
            </w:r>
          </w:p>
        </w:tc>
      </w:tr>
    </w:tbl>
    <w:p/>
    <w:p>
      <w:pPr>
        <w:pStyle w:val="33"/>
        <w:spacing w:before="1540" w:after="240"/>
        <w:jc w:val="center"/>
        <w:rPr>
          <w:color w:val="4472C4"/>
        </w:rPr>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pgNumType w:start="0"/>
          <w:cols w:space="425" w:num="1"/>
          <w:titlePg/>
          <w:docGrid w:type="lines" w:linePitch="312" w:charSpace="0"/>
        </w:sectPr>
      </w:pPr>
    </w:p>
    <w:p>
      <w:pPr>
        <w:jc w:val="center"/>
        <w:rPr>
          <w:rFonts w:ascii="黑体" w:hAnsi="黑体" w:eastAsia="黑体"/>
          <w:b/>
          <w:bCs/>
          <w:sz w:val="52"/>
          <w:szCs w:val="72"/>
        </w:rPr>
      </w:pPr>
    </w:p>
    <w:p>
      <w:pPr>
        <w:jc w:val="center"/>
        <w:rPr>
          <w:rFonts w:ascii="黑体" w:hAnsi="黑体" w:eastAsia="黑体"/>
          <w:b/>
          <w:bCs/>
          <w:sz w:val="52"/>
          <w:szCs w:val="72"/>
        </w:rPr>
      </w:pPr>
      <w:r>
        <w:rPr>
          <w:rFonts w:hint="eastAsia" w:ascii="黑体" w:hAnsi="黑体" w:eastAsia="黑体"/>
          <w:b/>
          <w:bCs/>
          <w:sz w:val="52"/>
          <w:szCs w:val="72"/>
        </w:rPr>
        <w:t>目 录</w:t>
      </w:r>
    </w:p>
    <w:p>
      <w:pPr>
        <w:pStyle w:val="12"/>
        <w:rPr>
          <w:rFonts w:hAnsi="等线"/>
          <w:sz w:val="24"/>
          <w:szCs w:val="24"/>
        </w:rPr>
      </w:pPr>
      <w:r>
        <w:rPr>
          <w:sz w:val="24"/>
          <w:szCs w:val="24"/>
        </w:rPr>
        <w:fldChar w:fldCharType="begin"/>
      </w:r>
      <w:r>
        <w:rPr>
          <w:sz w:val="24"/>
          <w:szCs w:val="24"/>
        </w:rPr>
        <w:instrText xml:space="preserve"> TOC \o "1-2" \h \z \u </w:instrText>
      </w:r>
      <w:r>
        <w:rPr>
          <w:sz w:val="24"/>
          <w:szCs w:val="24"/>
        </w:rPr>
        <w:fldChar w:fldCharType="separate"/>
      </w:r>
      <w:r>
        <w:fldChar w:fldCharType="begin"/>
      </w:r>
      <w:r>
        <w:instrText xml:space="preserve"> HYPERLINK \l "_Toc66830607" </w:instrText>
      </w:r>
      <w:r>
        <w:fldChar w:fldCharType="separate"/>
      </w:r>
      <w:r>
        <w:rPr>
          <w:rStyle w:val="23"/>
          <w:sz w:val="24"/>
          <w:szCs w:val="24"/>
        </w:rPr>
        <w:t>前 言</w:t>
      </w:r>
      <w:r>
        <w:rPr>
          <w:sz w:val="24"/>
          <w:szCs w:val="24"/>
        </w:rPr>
        <w:tab/>
      </w:r>
      <w:r>
        <w:rPr>
          <w:sz w:val="24"/>
          <w:szCs w:val="24"/>
        </w:rPr>
        <w:fldChar w:fldCharType="begin"/>
      </w:r>
      <w:r>
        <w:rPr>
          <w:sz w:val="24"/>
          <w:szCs w:val="24"/>
        </w:rPr>
        <w:instrText xml:space="preserve"> PAGEREF _Toc66830607 \h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2"/>
        <w:rPr>
          <w:rFonts w:hAnsi="等线"/>
          <w:sz w:val="24"/>
          <w:szCs w:val="24"/>
        </w:rPr>
      </w:pPr>
      <w:r>
        <w:fldChar w:fldCharType="begin"/>
      </w:r>
      <w:r>
        <w:instrText xml:space="preserve"> HYPERLINK \l "_Toc66830608" </w:instrText>
      </w:r>
      <w:r>
        <w:fldChar w:fldCharType="separate"/>
      </w:r>
      <w:r>
        <w:rPr>
          <w:rStyle w:val="23"/>
          <w:sz w:val="24"/>
          <w:szCs w:val="24"/>
        </w:rPr>
        <w:t>第一章商品房预售中的问题</w:t>
      </w:r>
      <w:r>
        <w:rPr>
          <w:sz w:val="24"/>
          <w:szCs w:val="24"/>
        </w:rPr>
        <w:tab/>
      </w:r>
      <w:r>
        <w:rPr>
          <w:sz w:val="24"/>
          <w:szCs w:val="24"/>
        </w:rPr>
        <w:fldChar w:fldCharType="begin"/>
      </w:r>
      <w:r>
        <w:rPr>
          <w:sz w:val="24"/>
          <w:szCs w:val="24"/>
        </w:rPr>
        <w:instrText xml:space="preserve"> PAGEREF _Toc66830608 \h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"_Toc66830609" </w:instrText>
      </w:r>
      <w:r>
        <w:fldChar w:fldCharType="separate"/>
      </w:r>
      <w:r>
        <w:rPr>
          <w:rStyle w:val="23"/>
          <w:sz w:val="24"/>
          <w:szCs w:val="24"/>
        </w:rPr>
        <w:t>1.1有关商品房预售合同的性质和预售条件</w:t>
      </w:r>
      <w:r>
        <w:rPr>
          <w:sz w:val="24"/>
          <w:szCs w:val="24"/>
        </w:rPr>
        <w:tab/>
      </w:r>
      <w:r>
        <w:rPr>
          <w:sz w:val="24"/>
          <w:szCs w:val="24"/>
        </w:rPr>
        <w:fldChar w:fldCharType="begin"/>
      </w:r>
      <w:r>
        <w:rPr>
          <w:sz w:val="24"/>
          <w:szCs w:val="24"/>
        </w:rPr>
        <w:instrText xml:space="preserve"> PAGEREF _Toc66830609 \h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"_Toc66830610" </w:instrText>
      </w:r>
      <w:r>
        <w:fldChar w:fldCharType="separate"/>
      </w:r>
      <w:r>
        <w:rPr>
          <w:rStyle w:val="23"/>
          <w:sz w:val="24"/>
          <w:szCs w:val="24"/>
        </w:rPr>
        <w:t>1.2预售商品房能否转让的问题</w:t>
      </w:r>
      <w:r>
        <w:rPr>
          <w:sz w:val="24"/>
          <w:szCs w:val="24"/>
        </w:rPr>
        <w:tab/>
      </w:r>
      <w:r>
        <w:rPr>
          <w:sz w:val="24"/>
          <w:szCs w:val="24"/>
        </w:rPr>
        <w:fldChar w:fldCharType="begin"/>
      </w:r>
      <w:r>
        <w:rPr>
          <w:sz w:val="24"/>
          <w:szCs w:val="24"/>
        </w:rPr>
        <w:instrText xml:space="preserve"> PAGEREF _Toc66830610 \h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"_Toc66830611" </w:instrText>
      </w:r>
      <w:r>
        <w:fldChar w:fldCharType="separate"/>
      </w:r>
      <w:r>
        <w:rPr>
          <w:rStyle w:val="23"/>
          <w:sz w:val="24"/>
          <w:szCs w:val="24"/>
        </w:rPr>
        <w:t>1.3商品房预售合同的效力认定</w:t>
      </w:r>
      <w:r>
        <w:rPr>
          <w:sz w:val="24"/>
          <w:szCs w:val="24"/>
        </w:rPr>
        <w:tab/>
      </w:r>
      <w:r>
        <w:rPr>
          <w:sz w:val="24"/>
          <w:szCs w:val="24"/>
        </w:rPr>
        <w:fldChar w:fldCharType="begin"/>
      </w:r>
      <w:r>
        <w:rPr>
          <w:sz w:val="24"/>
          <w:szCs w:val="24"/>
        </w:rPr>
        <w:instrText xml:space="preserve"> PAGEREF _Toc66830611 \h </w:instrText>
      </w:r>
      <w:r>
        <w:rPr>
          <w:sz w:val="24"/>
          <w:szCs w:val="24"/>
        </w:rPr>
        <w:fldChar w:fldCharType="separate"/>
      </w:r>
      <w:r>
        <w:rPr>
          <w:sz w:val="24"/>
          <w:szCs w:val="24"/>
        </w:rPr>
        <w:t>- 2 -</w:t>
      </w:r>
      <w:r>
        <w:rPr>
          <w:sz w:val="24"/>
          <w:szCs w:val="24"/>
        </w:rPr>
        <w:fldChar w:fldCharType="end"/>
      </w:r>
      <w:r>
        <w:rPr>
          <w:sz w:val="24"/>
          <w:szCs w:val="24"/>
        </w:rPr>
        <w:fldChar w:fldCharType="end"/>
      </w:r>
    </w:p>
    <w:p>
      <w:pPr>
        <w:pStyle w:val="12"/>
        <w:rPr>
          <w:rFonts w:hAnsi="等线"/>
          <w:sz w:val="24"/>
          <w:szCs w:val="24"/>
        </w:rPr>
      </w:pPr>
      <w:r>
        <w:fldChar w:fldCharType="begin"/>
      </w:r>
      <w:r>
        <w:instrText xml:space="preserve"> HYPERLINK \l "_Toc66830612" </w:instrText>
      </w:r>
      <w:r>
        <w:fldChar w:fldCharType="separate"/>
      </w:r>
      <w:r>
        <w:rPr>
          <w:rStyle w:val="23"/>
          <w:sz w:val="24"/>
          <w:szCs w:val="24"/>
        </w:rPr>
        <w:t>第二章定金问题</w:t>
      </w:r>
      <w:r>
        <w:rPr>
          <w:sz w:val="24"/>
          <w:szCs w:val="24"/>
        </w:rPr>
        <w:tab/>
      </w:r>
      <w:r>
        <w:rPr>
          <w:sz w:val="24"/>
          <w:szCs w:val="24"/>
        </w:rPr>
        <w:fldChar w:fldCharType="begin"/>
      </w:r>
      <w:r>
        <w:rPr>
          <w:sz w:val="24"/>
          <w:szCs w:val="24"/>
        </w:rPr>
        <w:instrText xml:space="preserve"> PAGEREF _Toc66830612 \h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"_Toc66830613" </w:instrText>
      </w:r>
      <w:r>
        <w:fldChar w:fldCharType="separate"/>
      </w:r>
      <w:r>
        <w:rPr>
          <w:rStyle w:val="23"/>
          <w:sz w:val="24"/>
          <w:szCs w:val="24"/>
        </w:rPr>
        <w:t>2.1定金概述</w:t>
      </w:r>
      <w:r>
        <w:rPr>
          <w:sz w:val="24"/>
          <w:szCs w:val="24"/>
        </w:rPr>
        <w:tab/>
      </w:r>
      <w:r>
        <w:rPr>
          <w:sz w:val="24"/>
          <w:szCs w:val="24"/>
        </w:rPr>
        <w:fldChar w:fldCharType="begin"/>
      </w:r>
      <w:r>
        <w:rPr>
          <w:sz w:val="24"/>
          <w:szCs w:val="24"/>
        </w:rPr>
        <w:instrText xml:space="preserve"> PAGEREF _Toc66830613 \h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"_Toc66830614" </w:instrText>
      </w:r>
      <w:r>
        <w:fldChar w:fldCharType="separate"/>
      </w:r>
      <w:r>
        <w:rPr>
          <w:rStyle w:val="23"/>
          <w:sz w:val="24"/>
          <w:szCs w:val="24"/>
        </w:rPr>
        <w:t>2.2定金与订金区别</w:t>
      </w:r>
      <w:r>
        <w:rPr>
          <w:sz w:val="24"/>
          <w:szCs w:val="24"/>
        </w:rPr>
        <w:tab/>
      </w:r>
      <w:r>
        <w:rPr>
          <w:sz w:val="24"/>
          <w:szCs w:val="24"/>
        </w:rPr>
        <w:fldChar w:fldCharType="begin"/>
      </w:r>
      <w:r>
        <w:rPr>
          <w:sz w:val="24"/>
          <w:szCs w:val="24"/>
        </w:rPr>
        <w:instrText xml:space="preserve"> PAGEREF _Toc66830614 \h </w:instrText>
      </w:r>
      <w:r>
        <w:rPr>
          <w:sz w:val="24"/>
          <w:szCs w:val="24"/>
        </w:rPr>
        <w:fldChar w:fldCharType="separate"/>
      </w:r>
      <w:r>
        <w:rPr>
          <w:sz w:val="24"/>
          <w:szCs w:val="24"/>
        </w:rPr>
        <w:t>- 5 -</w:t>
      </w:r>
      <w:r>
        <w:rPr>
          <w:sz w:val="24"/>
          <w:szCs w:val="24"/>
        </w:rPr>
        <w:fldChar w:fldCharType="end"/>
      </w:r>
      <w:r>
        <w:rPr>
          <w:sz w:val="24"/>
          <w:szCs w:val="24"/>
        </w:rPr>
        <w:fldChar w:fldCharType="end"/>
      </w:r>
    </w:p>
    <w:p>
      <w:pPr>
        <w:pStyle w:val="12"/>
        <w:rPr>
          <w:rFonts w:hAnsi="等线"/>
          <w:sz w:val="24"/>
          <w:szCs w:val="24"/>
        </w:rPr>
      </w:pPr>
      <w:r>
        <w:fldChar w:fldCharType="begin"/>
      </w:r>
      <w:r>
        <w:instrText xml:space="preserve"> HYPERLINK \l "_Toc66830615" </w:instrText>
      </w:r>
      <w:r>
        <w:fldChar w:fldCharType="separate"/>
      </w:r>
      <w:r>
        <w:rPr>
          <w:rStyle w:val="23"/>
          <w:sz w:val="24"/>
          <w:szCs w:val="24"/>
        </w:rPr>
        <w:t>第三章房屋存在质量问题解除合同的条件</w:t>
      </w:r>
      <w:r>
        <w:rPr>
          <w:sz w:val="24"/>
          <w:szCs w:val="24"/>
        </w:rPr>
        <w:tab/>
      </w:r>
      <w:r>
        <w:rPr>
          <w:sz w:val="24"/>
          <w:szCs w:val="24"/>
        </w:rPr>
        <w:fldChar w:fldCharType="begin"/>
      </w:r>
      <w:r>
        <w:rPr>
          <w:sz w:val="24"/>
          <w:szCs w:val="24"/>
        </w:rPr>
        <w:instrText xml:space="preserve"> PAGEREF _Toc66830615 \h </w:instrText>
      </w:r>
      <w:r>
        <w:rPr>
          <w:sz w:val="24"/>
          <w:szCs w:val="24"/>
        </w:rPr>
        <w:fldChar w:fldCharType="separate"/>
      </w:r>
      <w:r>
        <w:rPr>
          <w:sz w:val="24"/>
          <w:szCs w:val="24"/>
        </w:rPr>
        <w:t>- 6 -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"_Toc66830616" </w:instrText>
      </w:r>
      <w:r>
        <w:fldChar w:fldCharType="separate"/>
      </w:r>
      <w:r>
        <w:rPr>
          <w:rStyle w:val="23"/>
          <w:sz w:val="24"/>
          <w:szCs w:val="24"/>
        </w:rPr>
        <w:t>3.1房屋主体质量问题解除合同条件的法律依据</w:t>
      </w:r>
      <w:r>
        <w:rPr>
          <w:sz w:val="24"/>
          <w:szCs w:val="24"/>
        </w:rPr>
        <w:tab/>
      </w:r>
      <w:r>
        <w:rPr>
          <w:sz w:val="24"/>
          <w:szCs w:val="24"/>
        </w:rPr>
        <w:fldChar w:fldCharType="begin"/>
      </w:r>
      <w:r>
        <w:rPr>
          <w:sz w:val="24"/>
          <w:szCs w:val="24"/>
        </w:rPr>
        <w:instrText xml:space="preserve"> PAGEREF _Toc66830616 \h </w:instrText>
      </w:r>
      <w:r>
        <w:rPr>
          <w:sz w:val="24"/>
          <w:szCs w:val="24"/>
        </w:rPr>
        <w:fldChar w:fldCharType="separate"/>
      </w:r>
      <w:r>
        <w:rPr>
          <w:sz w:val="24"/>
          <w:szCs w:val="24"/>
        </w:rPr>
        <w:t>- 6 -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"_Toc66830617" </w:instrText>
      </w:r>
      <w:r>
        <w:fldChar w:fldCharType="separate"/>
      </w:r>
      <w:r>
        <w:rPr>
          <w:rStyle w:val="23"/>
          <w:sz w:val="24"/>
          <w:szCs w:val="24"/>
        </w:rPr>
        <w:t>3.2开发商交付物业质量问题的解决方法</w:t>
      </w:r>
      <w:r>
        <w:rPr>
          <w:sz w:val="24"/>
          <w:szCs w:val="24"/>
        </w:rPr>
        <w:tab/>
      </w:r>
      <w:r>
        <w:rPr>
          <w:sz w:val="24"/>
          <w:szCs w:val="24"/>
        </w:rPr>
        <w:fldChar w:fldCharType="begin"/>
      </w:r>
      <w:r>
        <w:rPr>
          <w:sz w:val="24"/>
          <w:szCs w:val="24"/>
        </w:rPr>
        <w:instrText xml:space="preserve"> PAGEREF _Toc66830617 \h </w:instrText>
      </w:r>
      <w:r>
        <w:rPr>
          <w:sz w:val="24"/>
          <w:szCs w:val="24"/>
        </w:rPr>
        <w:fldChar w:fldCharType="separate"/>
      </w:r>
      <w:r>
        <w:rPr>
          <w:sz w:val="24"/>
          <w:szCs w:val="24"/>
        </w:rPr>
        <w:t>- 6 -</w:t>
      </w:r>
      <w:r>
        <w:rPr>
          <w:sz w:val="24"/>
          <w:szCs w:val="24"/>
        </w:rPr>
        <w:fldChar w:fldCharType="end"/>
      </w:r>
      <w:r>
        <w:rPr>
          <w:sz w:val="24"/>
          <w:szCs w:val="24"/>
        </w:rPr>
        <w:fldChar w:fldCharType="end"/>
      </w:r>
    </w:p>
    <w:p>
      <w:pPr>
        <w:pStyle w:val="12"/>
        <w:rPr>
          <w:rFonts w:hAnsi="等线"/>
          <w:sz w:val="24"/>
          <w:szCs w:val="24"/>
        </w:rPr>
      </w:pPr>
      <w:r>
        <w:fldChar w:fldCharType="begin"/>
      </w:r>
      <w:r>
        <w:instrText xml:space="preserve"> HYPERLINK \l "_Toc66830618" </w:instrText>
      </w:r>
      <w:r>
        <w:fldChar w:fldCharType="separate"/>
      </w:r>
      <w:r>
        <w:rPr>
          <w:rStyle w:val="23"/>
          <w:sz w:val="24"/>
          <w:szCs w:val="24"/>
        </w:rPr>
        <w:t>第四章商品房买卖合同缔结过程中的欺诈行为和处理</w:t>
      </w:r>
      <w:r>
        <w:rPr>
          <w:sz w:val="24"/>
          <w:szCs w:val="24"/>
        </w:rPr>
        <w:tab/>
      </w:r>
      <w:r>
        <w:rPr>
          <w:sz w:val="24"/>
          <w:szCs w:val="24"/>
        </w:rPr>
        <w:fldChar w:fldCharType="begin"/>
      </w:r>
      <w:r>
        <w:rPr>
          <w:sz w:val="24"/>
          <w:szCs w:val="24"/>
        </w:rPr>
        <w:instrText xml:space="preserve"> PAGEREF _Toc66830618 \h </w:instrText>
      </w:r>
      <w:r>
        <w:rPr>
          <w:sz w:val="24"/>
          <w:szCs w:val="24"/>
        </w:rPr>
        <w:fldChar w:fldCharType="separate"/>
      </w:r>
      <w:r>
        <w:rPr>
          <w:sz w:val="24"/>
          <w:szCs w:val="24"/>
        </w:rPr>
        <w:t>- 6 -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"_Toc66830619" </w:instrText>
      </w:r>
      <w:r>
        <w:fldChar w:fldCharType="separate"/>
      </w:r>
      <w:r>
        <w:rPr>
          <w:rStyle w:val="23"/>
          <w:sz w:val="24"/>
          <w:szCs w:val="24"/>
        </w:rPr>
        <w:t>4.1欺诈案例</w:t>
      </w:r>
      <w:r>
        <w:rPr>
          <w:sz w:val="24"/>
          <w:szCs w:val="24"/>
        </w:rPr>
        <w:tab/>
      </w:r>
      <w:r>
        <w:rPr>
          <w:sz w:val="24"/>
          <w:szCs w:val="24"/>
        </w:rPr>
        <w:fldChar w:fldCharType="begin"/>
      </w:r>
      <w:r>
        <w:rPr>
          <w:sz w:val="24"/>
          <w:szCs w:val="24"/>
        </w:rPr>
        <w:instrText xml:space="preserve"> PAGEREF _Toc66830619 \h </w:instrText>
      </w:r>
      <w:r>
        <w:rPr>
          <w:sz w:val="24"/>
          <w:szCs w:val="24"/>
        </w:rPr>
        <w:fldChar w:fldCharType="separate"/>
      </w:r>
      <w:r>
        <w:rPr>
          <w:sz w:val="24"/>
          <w:szCs w:val="24"/>
        </w:rPr>
        <w:t>- 6 -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"_Toc66830620" </w:instrText>
      </w:r>
      <w:r>
        <w:fldChar w:fldCharType="separate"/>
      </w:r>
      <w:r>
        <w:rPr>
          <w:rStyle w:val="23"/>
          <w:sz w:val="24"/>
          <w:szCs w:val="24"/>
        </w:rPr>
        <w:t>4.2案例分析</w:t>
      </w:r>
      <w:r>
        <w:rPr>
          <w:sz w:val="24"/>
          <w:szCs w:val="24"/>
        </w:rPr>
        <w:tab/>
      </w:r>
      <w:r>
        <w:rPr>
          <w:sz w:val="24"/>
          <w:szCs w:val="24"/>
        </w:rPr>
        <w:fldChar w:fldCharType="begin"/>
      </w:r>
      <w:r>
        <w:rPr>
          <w:sz w:val="24"/>
          <w:szCs w:val="24"/>
        </w:rPr>
        <w:instrText xml:space="preserve"> PAGEREF _Toc66830620 \h </w:instrText>
      </w:r>
      <w:r>
        <w:rPr>
          <w:sz w:val="24"/>
          <w:szCs w:val="24"/>
        </w:rPr>
        <w:fldChar w:fldCharType="separate"/>
      </w:r>
      <w:r>
        <w:rPr>
          <w:sz w:val="24"/>
          <w:szCs w:val="24"/>
        </w:rPr>
        <w:t>- 7 -</w:t>
      </w:r>
      <w:r>
        <w:rPr>
          <w:sz w:val="24"/>
          <w:szCs w:val="24"/>
        </w:rPr>
        <w:fldChar w:fldCharType="end"/>
      </w:r>
      <w:r>
        <w:rPr>
          <w:sz w:val="24"/>
          <w:szCs w:val="24"/>
        </w:rPr>
        <w:fldChar w:fldCharType="end"/>
      </w:r>
    </w:p>
    <w:p>
      <w:pPr>
        <w:pStyle w:val="12"/>
        <w:rPr>
          <w:rFonts w:hAnsi="等线"/>
          <w:sz w:val="24"/>
          <w:szCs w:val="24"/>
        </w:rPr>
      </w:pPr>
      <w:r>
        <w:fldChar w:fldCharType="begin"/>
      </w:r>
      <w:r>
        <w:instrText xml:space="preserve"> HYPERLINK \l "_Toc66830621" </w:instrText>
      </w:r>
      <w:r>
        <w:fldChar w:fldCharType="separate"/>
      </w:r>
      <w:r>
        <w:rPr>
          <w:rStyle w:val="23"/>
          <w:sz w:val="24"/>
          <w:szCs w:val="24"/>
        </w:rPr>
        <w:t>第五章商品房认购书</w:t>
      </w:r>
      <w:r>
        <w:rPr>
          <w:sz w:val="24"/>
          <w:szCs w:val="24"/>
        </w:rPr>
        <w:tab/>
      </w:r>
      <w:r>
        <w:rPr>
          <w:sz w:val="24"/>
          <w:szCs w:val="24"/>
        </w:rPr>
        <w:fldChar w:fldCharType="begin"/>
      </w:r>
      <w:r>
        <w:rPr>
          <w:sz w:val="24"/>
          <w:szCs w:val="24"/>
        </w:rPr>
        <w:instrText xml:space="preserve"> PAGEREF _Toc66830621 \h </w:instrText>
      </w:r>
      <w:r>
        <w:rPr>
          <w:sz w:val="24"/>
          <w:szCs w:val="24"/>
        </w:rPr>
        <w:fldChar w:fldCharType="separate"/>
      </w:r>
      <w:r>
        <w:rPr>
          <w:sz w:val="24"/>
          <w:szCs w:val="24"/>
        </w:rPr>
        <w:t>- 8 -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"_Toc66830622" </w:instrText>
      </w:r>
      <w:r>
        <w:fldChar w:fldCharType="separate"/>
      </w:r>
      <w:r>
        <w:rPr>
          <w:rStyle w:val="23"/>
          <w:sz w:val="24"/>
          <w:szCs w:val="24"/>
        </w:rPr>
        <w:t>5.1认购书的性质</w:t>
      </w:r>
      <w:r>
        <w:rPr>
          <w:sz w:val="24"/>
          <w:szCs w:val="24"/>
        </w:rPr>
        <w:tab/>
      </w:r>
      <w:r>
        <w:rPr>
          <w:sz w:val="24"/>
          <w:szCs w:val="24"/>
        </w:rPr>
        <w:fldChar w:fldCharType="begin"/>
      </w:r>
      <w:r>
        <w:rPr>
          <w:sz w:val="24"/>
          <w:szCs w:val="24"/>
        </w:rPr>
        <w:instrText xml:space="preserve"> PAGEREF _Toc66830622 \h </w:instrText>
      </w:r>
      <w:r>
        <w:rPr>
          <w:sz w:val="24"/>
          <w:szCs w:val="24"/>
        </w:rPr>
        <w:fldChar w:fldCharType="separate"/>
      </w:r>
      <w:r>
        <w:rPr>
          <w:sz w:val="24"/>
          <w:szCs w:val="24"/>
        </w:rPr>
        <w:t>- 8 -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"_Toc66830623" </w:instrText>
      </w:r>
      <w:r>
        <w:fldChar w:fldCharType="separate"/>
      </w:r>
      <w:r>
        <w:rPr>
          <w:rStyle w:val="23"/>
          <w:sz w:val="24"/>
          <w:szCs w:val="24"/>
        </w:rPr>
        <w:t>5.2认购书的效力</w:t>
      </w:r>
      <w:r>
        <w:rPr>
          <w:sz w:val="24"/>
          <w:szCs w:val="24"/>
        </w:rPr>
        <w:tab/>
      </w:r>
      <w:r>
        <w:rPr>
          <w:sz w:val="24"/>
          <w:szCs w:val="24"/>
        </w:rPr>
        <w:fldChar w:fldCharType="begin"/>
      </w:r>
      <w:r>
        <w:rPr>
          <w:sz w:val="24"/>
          <w:szCs w:val="24"/>
        </w:rPr>
        <w:instrText xml:space="preserve"> PAGEREF _Toc66830623 \h </w:instrText>
      </w:r>
      <w:r>
        <w:rPr>
          <w:sz w:val="24"/>
          <w:szCs w:val="24"/>
        </w:rPr>
        <w:fldChar w:fldCharType="separate"/>
      </w:r>
      <w:r>
        <w:rPr>
          <w:sz w:val="24"/>
          <w:szCs w:val="24"/>
        </w:rPr>
        <w:t>- 8 -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"_Toc66830624" </w:instrText>
      </w:r>
      <w:r>
        <w:fldChar w:fldCharType="separate"/>
      </w:r>
      <w:r>
        <w:rPr>
          <w:rStyle w:val="23"/>
          <w:sz w:val="24"/>
          <w:szCs w:val="24"/>
        </w:rPr>
        <w:t>5.3认购书的违约责任</w:t>
      </w:r>
      <w:r>
        <w:rPr>
          <w:sz w:val="24"/>
          <w:szCs w:val="24"/>
        </w:rPr>
        <w:tab/>
      </w:r>
      <w:r>
        <w:rPr>
          <w:sz w:val="24"/>
          <w:szCs w:val="24"/>
        </w:rPr>
        <w:fldChar w:fldCharType="begin"/>
      </w:r>
      <w:r>
        <w:rPr>
          <w:sz w:val="24"/>
          <w:szCs w:val="24"/>
        </w:rPr>
        <w:instrText xml:space="preserve"> PAGEREF _Toc66830624 \h </w:instrText>
      </w:r>
      <w:r>
        <w:rPr>
          <w:sz w:val="24"/>
          <w:szCs w:val="24"/>
        </w:rPr>
        <w:fldChar w:fldCharType="separate"/>
      </w:r>
      <w:r>
        <w:rPr>
          <w:sz w:val="24"/>
          <w:szCs w:val="24"/>
        </w:rPr>
        <w:t>- 9 -</w:t>
      </w:r>
      <w:r>
        <w:rPr>
          <w:sz w:val="24"/>
          <w:szCs w:val="24"/>
        </w:rPr>
        <w:fldChar w:fldCharType="end"/>
      </w:r>
      <w:r>
        <w:rPr>
          <w:sz w:val="24"/>
          <w:szCs w:val="24"/>
        </w:rPr>
        <w:fldChar w:fldCharType="end"/>
      </w:r>
    </w:p>
    <w:p>
      <w:pPr>
        <w:pStyle w:val="12"/>
        <w:rPr>
          <w:rFonts w:hAnsi="等线"/>
          <w:sz w:val="24"/>
          <w:szCs w:val="24"/>
        </w:rPr>
      </w:pPr>
      <w:r>
        <w:fldChar w:fldCharType="begin"/>
      </w:r>
      <w:r>
        <w:instrText xml:space="preserve"> HYPERLINK \l "_Toc66830625" </w:instrText>
      </w:r>
      <w:r>
        <w:fldChar w:fldCharType="separate"/>
      </w:r>
      <w:r>
        <w:rPr>
          <w:rStyle w:val="23"/>
          <w:sz w:val="24"/>
          <w:szCs w:val="24"/>
        </w:rPr>
        <w:t>第六章关于商品房销售广告和宣传资料</w:t>
      </w:r>
      <w:r>
        <w:rPr>
          <w:sz w:val="24"/>
          <w:szCs w:val="24"/>
        </w:rPr>
        <w:tab/>
      </w:r>
      <w:r>
        <w:rPr>
          <w:sz w:val="24"/>
          <w:szCs w:val="24"/>
        </w:rPr>
        <w:fldChar w:fldCharType="begin"/>
      </w:r>
      <w:r>
        <w:rPr>
          <w:sz w:val="24"/>
          <w:szCs w:val="24"/>
        </w:rPr>
        <w:instrText xml:space="preserve"> PAGEREF _Toc66830625 \h </w:instrText>
      </w:r>
      <w:r>
        <w:rPr>
          <w:sz w:val="24"/>
          <w:szCs w:val="24"/>
        </w:rPr>
        <w:fldChar w:fldCharType="separate"/>
      </w:r>
      <w:r>
        <w:rPr>
          <w:sz w:val="24"/>
          <w:szCs w:val="24"/>
        </w:rPr>
        <w:t>- 9 -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"_Toc66830626" </w:instrText>
      </w:r>
      <w:r>
        <w:fldChar w:fldCharType="separate"/>
      </w:r>
      <w:r>
        <w:rPr>
          <w:rStyle w:val="23"/>
          <w:sz w:val="24"/>
          <w:szCs w:val="24"/>
        </w:rPr>
        <w:t>6.1广告和宣传资料性质的认定</w:t>
      </w:r>
      <w:r>
        <w:rPr>
          <w:sz w:val="24"/>
          <w:szCs w:val="24"/>
        </w:rPr>
        <w:tab/>
      </w:r>
      <w:r>
        <w:rPr>
          <w:sz w:val="24"/>
          <w:szCs w:val="24"/>
        </w:rPr>
        <w:fldChar w:fldCharType="begin"/>
      </w:r>
      <w:r>
        <w:rPr>
          <w:sz w:val="24"/>
          <w:szCs w:val="24"/>
        </w:rPr>
        <w:instrText xml:space="preserve"> PAGEREF _Toc66830626 \h </w:instrText>
      </w:r>
      <w:r>
        <w:rPr>
          <w:sz w:val="24"/>
          <w:szCs w:val="24"/>
        </w:rPr>
        <w:fldChar w:fldCharType="separate"/>
      </w:r>
      <w:r>
        <w:rPr>
          <w:sz w:val="24"/>
          <w:szCs w:val="24"/>
        </w:rPr>
        <w:t>- 9 -</w:t>
      </w:r>
      <w:r>
        <w:rPr>
          <w:sz w:val="24"/>
          <w:szCs w:val="24"/>
        </w:rPr>
        <w:fldChar w:fldCharType="end"/>
      </w:r>
      <w:r>
        <w:rPr>
          <w:sz w:val="24"/>
          <w:szCs w:val="24"/>
        </w:rPr>
        <w:fldChar w:fldCharType="end"/>
      </w:r>
    </w:p>
    <w:p>
      <w:pPr>
        <w:pStyle w:val="16"/>
        <w:tabs>
          <w:tab w:val="right" w:leader="dot" w:pos="8302"/>
        </w:tabs>
        <w:rPr>
          <w:rFonts w:hAnsi="等线"/>
          <w:smallCaps w:val="0"/>
          <w:sz w:val="24"/>
          <w:szCs w:val="24"/>
        </w:rPr>
      </w:pPr>
      <w:r>
        <w:fldChar w:fldCharType="begin"/>
      </w:r>
      <w:r>
        <w:instrText xml:space="preserve"> HYPERLINK \l "_Toc66830627" </w:instrText>
      </w:r>
      <w:r>
        <w:fldChar w:fldCharType="separate"/>
      </w:r>
      <w:r>
        <w:rPr>
          <w:rStyle w:val="23"/>
          <w:sz w:val="24"/>
          <w:szCs w:val="24"/>
        </w:rPr>
        <w:t>6.2立法依据</w:t>
      </w:r>
      <w:r>
        <w:rPr>
          <w:sz w:val="24"/>
          <w:szCs w:val="24"/>
        </w:rPr>
        <w:tab/>
      </w:r>
      <w:r>
        <w:rPr>
          <w:sz w:val="24"/>
          <w:szCs w:val="24"/>
        </w:rPr>
        <w:fldChar w:fldCharType="begin"/>
      </w:r>
      <w:r>
        <w:rPr>
          <w:sz w:val="24"/>
          <w:szCs w:val="24"/>
        </w:rPr>
        <w:instrText xml:space="preserve"> PAGEREF _Toc66830627 \h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2"/>
        <w:rPr>
          <w:rFonts w:hAnsi="等线"/>
          <w:sz w:val="24"/>
          <w:szCs w:val="24"/>
        </w:rPr>
      </w:pPr>
      <w:r>
        <w:fldChar w:fldCharType="begin"/>
      </w:r>
      <w:r>
        <w:instrText xml:space="preserve"> HYPERLINK \l "_Toc66830628" </w:instrText>
      </w:r>
      <w:r>
        <w:fldChar w:fldCharType="separate"/>
      </w:r>
      <w:r>
        <w:rPr>
          <w:rStyle w:val="23"/>
          <w:sz w:val="24"/>
          <w:szCs w:val="24"/>
        </w:rPr>
        <w:t>参考文献</w:t>
      </w:r>
      <w:r>
        <w:rPr>
          <w:sz w:val="24"/>
          <w:szCs w:val="24"/>
        </w:rPr>
        <w:tab/>
      </w:r>
      <w:r>
        <w:rPr>
          <w:sz w:val="24"/>
          <w:szCs w:val="24"/>
        </w:rPr>
        <w:fldChar w:fldCharType="begin"/>
      </w:r>
      <w:r>
        <w:rPr>
          <w:sz w:val="24"/>
          <w:szCs w:val="24"/>
        </w:rPr>
        <w:instrText xml:space="preserve"> PAGEREF _Toc66830628 \h </w:instrText>
      </w:r>
      <w:r>
        <w:rPr>
          <w:sz w:val="24"/>
          <w:szCs w:val="24"/>
        </w:rPr>
        <w:fldChar w:fldCharType="separate"/>
      </w:r>
      <w:r>
        <w:rPr>
          <w:sz w:val="24"/>
          <w:szCs w:val="24"/>
        </w:rPr>
        <w:t>- 12 -</w:t>
      </w:r>
      <w:r>
        <w:rPr>
          <w:sz w:val="24"/>
          <w:szCs w:val="24"/>
        </w:rPr>
        <w:fldChar w:fldCharType="end"/>
      </w:r>
      <w:r>
        <w:rPr>
          <w:sz w:val="24"/>
          <w:szCs w:val="24"/>
        </w:rPr>
        <w:fldChar w:fldCharType="end"/>
      </w:r>
    </w:p>
    <w:p>
      <w:pPr>
        <w:pStyle w:val="12"/>
        <w:rPr>
          <w:rFonts w:hAnsi="等线"/>
          <w:sz w:val="24"/>
          <w:szCs w:val="24"/>
        </w:rPr>
      </w:pPr>
      <w:r>
        <w:fldChar w:fldCharType="begin"/>
      </w:r>
      <w:r>
        <w:instrText xml:space="preserve"> HYPERLINK \l "_Toc66830629" </w:instrText>
      </w:r>
      <w:r>
        <w:fldChar w:fldCharType="separate"/>
      </w:r>
      <w:r>
        <w:rPr>
          <w:rStyle w:val="23"/>
          <w:sz w:val="24"/>
          <w:szCs w:val="24"/>
        </w:rPr>
        <w:t>致谢</w:t>
      </w:r>
      <w:r>
        <w:rPr>
          <w:sz w:val="24"/>
          <w:szCs w:val="24"/>
        </w:rPr>
        <w:tab/>
      </w:r>
      <w:r>
        <w:rPr>
          <w:sz w:val="24"/>
          <w:szCs w:val="24"/>
        </w:rPr>
        <w:fldChar w:fldCharType="begin"/>
      </w:r>
      <w:r>
        <w:rPr>
          <w:sz w:val="24"/>
          <w:szCs w:val="24"/>
        </w:rPr>
        <w:instrText xml:space="preserve"> PAGEREF _Toc66830629 \h </w:instrText>
      </w:r>
      <w:r>
        <w:rPr>
          <w:sz w:val="24"/>
          <w:szCs w:val="24"/>
        </w:rPr>
        <w:fldChar w:fldCharType="separate"/>
      </w:r>
      <w:r>
        <w:rPr>
          <w:sz w:val="24"/>
          <w:szCs w:val="24"/>
        </w:rPr>
        <w:t>- 13 -</w:t>
      </w:r>
      <w:r>
        <w:rPr>
          <w:sz w:val="24"/>
          <w:szCs w:val="24"/>
        </w:rPr>
        <w:fldChar w:fldCharType="end"/>
      </w:r>
      <w:r>
        <w:rPr>
          <w:sz w:val="24"/>
          <w:szCs w:val="24"/>
        </w:rPr>
        <w:fldChar w:fldCharType="end"/>
      </w:r>
    </w:p>
    <w:p>
      <w:pPr>
        <w:rPr>
          <w:sz w:val="24"/>
        </w:rPr>
      </w:pPr>
      <w:r>
        <w:rPr>
          <w:sz w:val="24"/>
        </w:rPr>
        <w:fldChar w:fldCharType="end"/>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sectPr>
          <w:headerReference r:id="rId12" w:type="first"/>
          <w:footerReference r:id="rId14" w:type="first"/>
          <w:headerReference r:id="rId11" w:type="default"/>
          <w:footerReference r:id="rId13" w:type="default"/>
          <w:pgSz w:w="11906" w:h="16838"/>
          <w:pgMar w:top="1440" w:right="1797" w:bottom="1440" w:left="1797" w:header="851" w:footer="992" w:gutter="0"/>
          <w:pgNumType w:fmt="upperRoman" w:start="1"/>
          <w:cols w:space="425" w:num="1"/>
          <w:titlePg/>
          <w:docGrid w:type="lines" w:linePitch="312" w:charSpace="0"/>
        </w:sectPr>
      </w:pPr>
    </w:p>
    <w:p>
      <w:pPr>
        <w:rPr>
          <w:rFonts w:hint="eastAsia"/>
        </w:rPr>
      </w:pPr>
    </w:p>
    <w:p>
      <w:pPr>
        <w:pStyle w:val="26"/>
        <w:spacing w:before="312" w:after="156"/>
        <w:rPr>
          <w:rFonts w:hint="eastAsia"/>
        </w:rPr>
      </w:pPr>
      <w:bookmarkStart w:id="2" w:name="_Toc66830607"/>
      <w:r>
        <w:rPr>
          <w:rFonts w:hint="eastAsia"/>
        </w:rPr>
        <w:t>前 言</w:t>
      </w:r>
      <w:bookmarkEnd w:id="0"/>
      <w:bookmarkEnd w:id="1"/>
      <w:bookmarkEnd w:id="2"/>
    </w:p>
    <w:p>
      <w:pPr>
        <w:pStyle w:val="31"/>
        <w:ind w:firstLine="420"/>
        <w:rPr>
          <w:rFonts w:hint="eastAsia"/>
        </w:rPr>
      </w:pPr>
      <w:r>
        <w:rPr>
          <w:rFonts w:hint="eastAsia"/>
        </w:rPr>
        <w:t>我国房地产法律</w:t>
      </w:r>
      <w:r>
        <w:fldChar w:fldCharType="begin"/>
      </w:r>
      <w:r>
        <w:instrText xml:space="preserve"> HYPERLINK "http://www.shu1000.com" </w:instrText>
      </w:r>
      <w:r>
        <w:fldChar w:fldCharType="separate"/>
      </w:r>
      <w:r>
        <w:rPr>
          <w:rStyle w:val="23"/>
          <w:rFonts w:hint="eastAsia"/>
        </w:rPr>
        <w:t>制度</w:t>
      </w:r>
      <w:r>
        <w:rPr>
          <w:rStyle w:val="23"/>
          <w:rFonts w:hint="eastAsia"/>
        </w:rPr>
        <w:fldChar w:fldCharType="end"/>
      </w:r>
      <w:r>
        <w:rPr>
          <w:rStyle w:val="24"/>
        </w:rPr>
        <w:footnoteReference w:id="0"/>
      </w:r>
      <w:r>
        <w:rPr>
          <w:rFonts w:hint="eastAsia"/>
        </w:rPr>
        <w:t>的完善，不能离开法律追求公平正义的价值目标，在</w:t>
      </w:r>
      <w:r>
        <w:fldChar w:fldCharType="begin"/>
      </w:r>
      <w:r>
        <w:instrText xml:space="preserve"> HYPERLINK "http://www.shu1000.com/paper-217-1/" </w:instrText>
      </w:r>
      <w:r>
        <w:fldChar w:fldCharType="separate"/>
      </w:r>
      <w:r>
        <w:rPr>
          <w:rStyle w:val="23"/>
          <w:rFonts w:hint="eastAsia"/>
        </w:rPr>
        <w:t>土地资源</w:t>
      </w:r>
      <w:r>
        <w:rPr>
          <w:rStyle w:val="23"/>
          <w:rFonts w:hint="eastAsia"/>
        </w:rPr>
        <w:fldChar w:fldCharType="end"/>
      </w:r>
      <w:r>
        <w:rPr>
          <w:rFonts w:hint="eastAsia"/>
        </w:rPr>
        <w:t>紧缺的国情下，科学利用有限的城市土地资源尤显重要，立法机关和房地产</w:t>
      </w:r>
      <w:r>
        <w:fldChar w:fldCharType="begin"/>
      </w:r>
      <w:r>
        <w:instrText xml:space="preserve"> HYPERLINK "http://www.shu1000.com/paper-26-1/" </w:instrText>
      </w:r>
      <w:r>
        <w:fldChar w:fldCharType="separate"/>
      </w:r>
      <w:r>
        <w:rPr>
          <w:rStyle w:val="23"/>
          <w:rFonts w:hint="eastAsia"/>
        </w:rPr>
        <w:t>行政管理</w:t>
      </w:r>
      <w:r>
        <w:rPr>
          <w:rStyle w:val="23"/>
          <w:rFonts w:hint="eastAsia"/>
        </w:rPr>
        <w:fldChar w:fldCharType="end"/>
      </w:r>
      <w:r>
        <w:rPr>
          <w:rFonts w:hint="eastAsia"/>
        </w:rPr>
        <w:t>机关对城市房地产公共资源的开发和利用应有一个长远的战略目标。目前我国商品房的建设如火如荼，购房者也异常踊跃，房价更是久涨不衰，买房是老百姓经常探讨的问题，如何才能买到一套令自己称心如意的住房呢？除了考察商品房的地理位置是否优越、交通是否便利、环境是否优美、配套是否健全等问题，购房者应在商品房买卖所涉及的法律问题上多了解一些。笔者认为有几个问题值得我们探讨</w:t>
      </w:r>
      <w:r>
        <w:rPr>
          <w:rStyle w:val="21"/>
        </w:rPr>
        <w:endnoteReference w:id="0"/>
      </w:r>
      <w:r>
        <w:rPr>
          <w:rFonts w:hint="eastAsia"/>
        </w:rPr>
        <w:t>。</w:t>
      </w:r>
    </w:p>
    <w:p>
      <w:pPr>
        <w:pStyle w:val="26"/>
        <w:spacing w:before="312" w:after="156"/>
        <w:rPr>
          <w:rFonts w:hint="eastAsia"/>
        </w:rPr>
      </w:pPr>
      <w:bookmarkStart w:id="3" w:name="_Toc66830608"/>
      <w:r>
        <w:rPr>
          <w:rFonts w:hint="eastAsia"/>
        </w:rPr>
        <w:t>第一章</w:t>
      </w:r>
      <w:bookmarkStart w:id="4" w:name="_Toc182202843"/>
      <w:bookmarkStart w:id="5" w:name="_Toc182202738"/>
      <w:r>
        <w:rPr>
          <w:rFonts w:hint="eastAsia"/>
        </w:rPr>
        <w:t>商品房预售中的问题</w:t>
      </w:r>
      <w:bookmarkEnd w:id="3"/>
      <w:bookmarkEnd w:id="4"/>
      <w:bookmarkEnd w:id="5"/>
    </w:p>
    <w:p>
      <w:pPr>
        <w:pStyle w:val="27"/>
        <w:spacing w:before="156"/>
        <w:ind w:firstLine="562"/>
        <w:rPr>
          <w:rFonts w:hint="eastAsia"/>
        </w:rPr>
      </w:pPr>
      <w:bookmarkStart w:id="6" w:name="_Toc66830609"/>
      <w:bookmarkStart w:id="7" w:name="_Toc182202844"/>
      <w:bookmarkStart w:id="8" w:name="_Toc182202739"/>
      <w:bookmarkStart w:id="9" w:name="_Hlk66826262"/>
      <w:r>
        <w:rPr>
          <w:rFonts w:hint="eastAsia"/>
        </w:rPr>
        <w:t>1.1有关商品房预售合同的性质和预售条件</w:t>
      </w:r>
      <w:bookmarkEnd w:id="6"/>
      <w:bookmarkEnd w:id="7"/>
      <w:bookmarkEnd w:id="8"/>
    </w:p>
    <w:bookmarkEnd w:id="9"/>
    <w:p>
      <w:pPr>
        <w:pStyle w:val="31"/>
        <w:ind w:firstLine="420"/>
      </w:pPr>
      <w:r>
        <w:rPr>
          <w:rFonts w:hint="eastAsia"/>
        </w:rPr>
        <w:t>商品房预售合同是以建造中的房屋为标的物的一种买卖合同，就法律性质而言，不同于预约买卖合同、期货买卖合同、附期限买卖合同、分期付款买卖合同，而属于远期交货合同，即合同双方当事人在合同中约定在将来的一定期间内交货的合同。鉴于预售的商品房存在诸多不确定因素，风险较大，</w:t>
      </w:r>
      <w:r>
        <w:fldChar w:fldCharType="begin"/>
      </w:r>
      <w:r>
        <w:instrText xml:space="preserve"> HYPERLINK "http://www.shu1000.com" </w:instrText>
      </w:r>
      <w:r>
        <w:fldChar w:fldCharType="separate"/>
      </w:r>
      <w:r>
        <w:rPr>
          <w:rStyle w:val="23"/>
          <w:rFonts w:hint="eastAsia"/>
        </w:rPr>
        <w:t>国家</w:t>
      </w:r>
      <w:r>
        <w:rPr>
          <w:rStyle w:val="23"/>
          <w:rFonts w:hint="eastAsia"/>
        </w:rPr>
        <w:fldChar w:fldCharType="end"/>
      </w:r>
      <w:r>
        <w:rPr>
          <w:rFonts w:hint="eastAsia"/>
        </w:rPr>
        <w:t>对于商品房的预售给予较强的干预，明确规定了</w:t>
      </w:r>
      <w:bookmarkStart w:id="10" w:name="_Hlk66904868"/>
      <w:r>
        <w:rPr>
          <w:rFonts w:hint="eastAsia"/>
          <w:color w:val="auto"/>
          <w:u w:val="none"/>
        </w:rPr>
        <w:fldChar w:fldCharType="begin"/>
      </w:r>
      <w:r>
        <w:rPr>
          <w:rFonts w:hint="eastAsia"/>
          <w:color w:val="auto"/>
          <w:u w:val="none"/>
        </w:rPr>
        <w:instrText xml:space="preserve"> HYPERLINK "http://www.mohurd.gov.cn/" </w:instrText>
      </w:r>
      <w:r>
        <w:rPr>
          <w:rFonts w:hint="eastAsia"/>
          <w:color w:val="auto"/>
          <w:u w:val="none"/>
        </w:rPr>
        <w:fldChar w:fldCharType="separate"/>
      </w:r>
      <w:r>
        <w:rPr>
          <w:rStyle w:val="23"/>
          <w:rFonts w:hint="eastAsia"/>
        </w:rPr>
        <w:t>商品房预售的条件</w:t>
      </w:r>
      <w:bookmarkEnd w:id="10"/>
      <w:r>
        <w:rPr>
          <w:rFonts w:hint="eastAsia"/>
          <w:color w:val="auto"/>
          <w:u w:val="none"/>
        </w:rPr>
        <w:fldChar w:fldCharType="end"/>
      </w:r>
      <w:r>
        <w:rPr>
          <w:rFonts w:hint="eastAsia"/>
        </w:rPr>
        <w:t>。即房地产开发商必须具备俗称的“五证”：</w:t>
      </w:r>
    </w:p>
    <w:p>
      <w:pPr>
        <w:pStyle w:val="31"/>
        <w:ind w:firstLine="420"/>
      </w:pPr>
      <w:r>
        <w:rPr>
          <w:rFonts w:hint="eastAsia"/>
        </w:rPr>
        <w:t>（1）．国有土地使用权证。</w:t>
      </w:r>
    </w:p>
    <w:p>
      <w:pPr>
        <w:pStyle w:val="31"/>
        <w:ind w:firstLine="420"/>
      </w:pPr>
      <w:r>
        <w:rPr>
          <w:rFonts w:hint="eastAsia"/>
        </w:rPr>
        <w:t>（2）．建设用地规划许可证。</w:t>
      </w:r>
    </w:p>
    <w:p>
      <w:pPr>
        <w:pStyle w:val="31"/>
        <w:ind w:firstLine="420"/>
      </w:pPr>
      <w:r>
        <w:rPr>
          <w:rFonts w:hint="eastAsia"/>
        </w:rPr>
        <w:t>（3）．建设工程规划许可证。　　</w:t>
      </w:r>
    </w:p>
    <w:p>
      <w:pPr>
        <w:pStyle w:val="31"/>
        <w:ind w:firstLine="420"/>
      </w:pPr>
      <w:r>
        <w:rPr>
          <w:rFonts w:hint="eastAsia"/>
        </w:rPr>
        <w:t>（4）．建设工程开工许可证。</w:t>
      </w:r>
    </w:p>
    <w:p>
      <w:pPr>
        <w:pStyle w:val="31"/>
        <w:ind w:firstLine="420"/>
        <w:rPr>
          <w:rFonts w:hint="eastAsia"/>
        </w:rPr>
      </w:pPr>
      <w:r>
        <w:rPr>
          <w:rFonts w:hint="eastAsia"/>
        </w:rPr>
        <w:t>（5）．预售许可证。</w:t>
      </w:r>
    </w:p>
    <w:p>
      <w:pPr>
        <w:pStyle w:val="31"/>
        <w:ind w:firstLine="420"/>
        <w:rPr>
          <w:rFonts w:hint="eastAsia"/>
        </w:rPr>
      </w:pPr>
      <w:r>
        <w:rPr>
          <w:rFonts w:hint="eastAsia"/>
        </w:rPr>
        <w:t>一般来说开发商如果已获得了预售许可证，那么就应该已取得了前四证。但也不能为了省事，而只查看预售许可证不查看其他四证。只有具备了上述“五证”，商品房才可进行预售，否则，购房者一旦购买了不具备预售条件的商品房，那么将在日后办理房产证等诸多环节带来很大的麻烦。因此，购房者应在合同签订的过程中，把握合同的细节，约定到期不能履行的违约责任，才能切实保护自己的合法利益。</w:t>
      </w:r>
    </w:p>
    <w:p>
      <w:pPr>
        <w:pStyle w:val="31"/>
        <w:ind w:firstLine="420"/>
        <w:rPr>
          <w:rFonts w:hint="eastAsia"/>
        </w:rPr>
      </w:pPr>
      <w:r>
        <w:rPr>
          <w:rFonts w:hint="eastAsia"/>
        </w:rPr>
        <w:t>商品房买卖合同分为商品房现售和商品房预售两种，是根据商品房开发建设过程并结合合同成立时间对商品房买卖合同进行的分类。商品房现售不在该课题讨论的内容之中，现不再赘述。</w:t>
      </w:r>
    </w:p>
    <w:p>
      <w:pPr>
        <w:pStyle w:val="31"/>
        <w:ind w:firstLine="420"/>
        <w:rPr>
          <w:rFonts w:hint="eastAsia"/>
        </w:rPr>
      </w:pPr>
      <w:r>
        <w:rPr>
          <w:rFonts w:hint="eastAsia"/>
        </w:rPr>
        <w:t>根据建设部制定的《商品房销售管理办法》第三条的规定，商品房现售，是指房地产开发企业将竣工验收合格的商品房出售给买受人，并由买受人支付房价款的行为；商品房预售，是指房地产开发企业将正在建设中的商品房预先出售给买受人，并由买受人支付定金或者房价款的行为。　　</w:t>
      </w:r>
    </w:p>
    <w:p>
      <w:pPr>
        <w:pStyle w:val="27"/>
        <w:spacing w:before="156"/>
        <w:ind w:firstLine="562"/>
        <w:rPr>
          <w:rFonts w:hint="eastAsia"/>
        </w:rPr>
      </w:pPr>
      <w:bookmarkStart w:id="11" w:name="_Toc66830610"/>
      <w:bookmarkStart w:id="12" w:name="_Toc182202740"/>
      <w:bookmarkStart w:id="13" w:name="_Toc182202845"/>
      <w:bookmarkStart w:id="14" w:name="_Hlk66828767"/>
      <w:r>
        <w:rPr>
          <w:rFonts w:hint="eastAsia"/>
        </w:rPr>
        <w:t>1.2预售商品房能否转让的问题</w:t>
      </w:r>
      <w:bookmarkEnd w:id="11"/>
      <w:bookmarkEnd w:id="12"/>
      <w:bookmarkEnd w:id="13"/>
    </w:p>
    <w:bookmarkEnd w:id="14"/>
    <w:p>
      <w:pPr>
        <w:pStyle w:val="31"/>
        <w:ind w:firstLine="420"/>
        <w:rPr>
          <w:rFonts w:hint="eastAsia"/>
        </w:rPr>
      </w:pPr>
      <w:r>
        <w:rPr>
          <w:rFonts w:hint="eastAsia"/>
        </w:rPr>
        <w:t>预售的商品房能否转让，目前我国没有明文规定，但笔者认为允许预售商品房转让实现了所有权人对其所有物的处分权。对于房地产开发商来说，一方面可以加速资金回笼，减轻借贷压力，另一方面也可以加快工程进度，缩短建设周期，使购买人尽快收回投资。同时也要看到预售商品房的转让的标的并不是房屋的真正的所有权，而是对所有权的期待权。</w:t>
      </w:r>
    </w:p>
    <w:p>
      <w:pPr>
        <w:pStyle w:val="31"/>
        <w:ind w:firstLine="420"/>
        <w:rPr>
          <w:rFonts w:hint="eastAsia"/>
        </w:rPr>
      </w:pPr>
      <w:r>
        <w:rPr>
          <w:rFonts w:hint="eastAsia"/>
        </w:rPr>
        <w:t>我国《城市房地产管理法》第45条规定“商品房预售的，商品房预购人将购买的未竣工的预售商品房再行转让的问题，由国务院规定。”这说明预售合同转让是有条件的。笔者认为预售合同转让的条件如下：</w:t>
      </w:r>
    </w:p>
    <w:p>
      <w:pPr>
        <w:pStyle w:val="31"/>
        <w:ind w:firstLine="420"/>
        <w:rPr>
          <w:rFonts w:hint="eastAsia"/>
        </w:rPr>
      </w:pPr>
      <w:r>
        <w:rPr>
          <w:rFonts w:hint="eastAsia"/>
        </w:rPr>
        <w:t>（1）依照法律、法规等规定，允许预售的商品房转让的可以转让；不允许转让的不得转让。</w:t>
      </w:r>
    </w:p>
    <w:p>
      <w:pPr>
        <w:pStyle w:val="31"/>
        <w:ind w:firstLine="420"/>
        <w:rPr>
          <w:rFonts w:hint="eastAsia"/>
        </w:rPr>
      </w:pPr>
      <w:r>
        <w:rPr>
          <w:rFonts w:hint="eastAsia"/>
        </w:rPr>
        <w:t>（2）转让人必须持有经过登记备案的商品房预售合同和转让合同才能成为转让人，未登记备案的预售商品房不得转让。这种规定有利于国家加强宏观管理。</w:t>
      </w:r>
    </w:p>
    <w:p>
      <w:pPr>
        <w:pStyle w:val="31"/>
        <w:ind w:firstLine="420"/>
        <w:rPr>
          <w:rFonts w:hint="eastAsia"/>
        </w:rPr>
      </w:pPr>
      <w:r>
        <w:rPr>
          <w:rFonts w:hint="eastAsia"/>
        </w:rPr>
        <w:t>（3）预售商品房转让的标的物必须是尚未竣工的、正在建设中的预售商品房，同时预售商品房转让行为必须是行为人真实意思表示，否则转让行为无效。</w:t>
      </w:r>
    </w:p>
    <w:p>
      <w:pPr>
        <w:pStyle w:val="31"/>
        <w:ind w:firstLine="420"/>
        <w:rPr>
          <w:rFonts w:hint="eastAsia"/>
        </w:rPr>
      </w:pPr>
      <w:r>
        <w:rPr>
          <w:rFonts w:hint="eastAsia"/>
        </w:rPr>
        <w:t>（4）商品房的预售合同必须合法有效，才允许预售商品房转让，否则预售商品房转让无效。最高人民法院民(1996)2号文件第28条规定：“商品房的预售合同无效的，预售商品房的转让合同，一般也应当认定无效。”</w:t>
      </w:r>
    </w:p>
    <w:p>
      <w:pPr>
        <w:pStyle w:val="31"/>
        <w:ind w:firstLine="420"/>
        <w:rPr>
          <w:rFonts w:hint="eastAsia"/>
        </w:rPr>
      </w:pPr>
      <w:r>
        <w:rPr>
          <w:rFonts w:hint="eastAsia"/>
        </w:rPr>
        <w:t>（5）预售的商品房转让需要签订转让合同，不必重新签订新预售合同。这种预售商品房转让合同应依法缴纳有关税费。</w:t>
      </w:r>
    </w:p>
    <w:p>
      <w:pPr>
        <w:pStyle w:val="31"/>
        <w:ind w:firstLine="420"/>
        <w:rPr>
          <w:rFonts w:hint="eastAsia"/>
        </w:rPr>
      </w:pPr>
      <w:r>
        <w:rPr>
          <w:rFonts w:hint="eastAsia"/>
        </w:rPr>
        <w:t>由此看来，预售商品房在符合上述条件的情况下是可以转让的。</w:t>
      </w:r>
    </w:p>
    <w:p>
      <w:pPr>
        <w:pStyle w:val="27"/>
        <w:spacing w:before="156"/>
        <w:ind w:firstLine="562"/>
        <w:rPr>
          <w:rFonts w:hint="eastAsia"/>
        </w:rPr>
      </w:pPr>
      <w:bookmarkStart w:id="15" w:name="_Toc66830611"/>
      <w:bookmarkStart w:id="16" w:name="_Toc182202846"/>
      <w:bookmarkStart w:id="17" w:name="_Toc182202741"/>
      <w:r>
        <w:rPr>
          <w:rFonts w:hint="eastAsia"/>
        </w:rPr>
        <w:t>1.3商品房预售合同的效力认定</w:t>
      </w:r>
      <w:bookmarkEnd w:id="15"/>
      <w:bookmarkEnd w:id="16"/>
      <w:bookmarkEnd w:id="17"/>
    </w:p>
    <w:p>
      <w:pPr>
        <w:pStyle w:val="29"/>
        <w:spacing w:before="156"/>
        <w:ind w:firstLine="422"/>
        <w:rPr>
          <w:rFonts w:hint="eastAsia"/>
        </w:rPr>
      </w:pPr>
      <w:bookmarkStart w:id="18" w:name="_Hlk66827027"/>
      <w:r>
        <w:rPr>
          <w:rFonts w:hint="eastAsia"/>
        </w:rPr>
        <w:t>1.3.1认定商品房预售合同效力的一般性原则</w:t>
      </w:r>
    </w:p>
    <w:bookmarkEnd w:id="18"/>
    <w:p>
      <w:pPr>
        <w:pStyle w:val="31"/>
        <w:ind w:firstLine="420"/>
      </w:pPr>
      <w:r>
        <w:t>《中华人民共和国城市房地产管理法》第四十四条规定：“商品房预售，应当符合以下条件：（1）已交付全部土地使用权出让金，取得土地使用权证书：（2）持有建设工程规划许可证；（3）按提供预售的商品房计算，投入开发建设的资金达到工程建设总投资的百分之二十五以上，并已经确定施工进度和竣工交付日期：（4）向县级以上人民政府房产管理部门办理预售等级，取得商品房预售许可证明。”以上规定为法律对商品房预售的强制性规定，如有违反，根据合同法的关于合同效力的相关规定，该预售合同将应违法法律的强制性规定而无效。</w:t>
      </w:r>
    </w:p>
    <w:p>
      <w:pPr>
        <w:pStyle w:val="31"/>
        <w:ind w:firstLine="420"/>
        <w:rPr>
          <w:rFonts w:hint="eastAsia"/>
        </w:rPr>
      </w:pPr>
      <w:r>
        <w:t>国务院颁布的《城市房地产开发经营管理条例》第二十三条也同样规定，“房地产开发企业预售商品房，应当符合下列条件：（1）已交付全部土地使用权出让金，取得土地使用权证书：（2）持有建设工程规划许可证；（3）按提供预售的商品房计算，投入开发建设的资金达到工程建设总投资的百分之25%以上，并已经确定施工进度和竣工交付日期：（4）已办理预售登记，取得商品房预售许可证明。”同时该条例第二十四条还规定：“房地产开发企业申请办理商品房预售登记，应当提交下列文件：（1）本条例第二十三条第（1）项至第（3）项规定的证明材料；（2）营业执照和资质等级证书；（3）工程施工合同；（4）预售商品房分层平面图；（5）商品房预售方案。”结合以上两条规定，一般可认为，取得预售许可证的即已符合《中华人民共和国城市房地产管理法》第四十四条的规定商品房预售的强制性条件，《商品房预售许可证》便成了商品房合法预售的关键性证明文件，是商品房预售的“资格证”、“通行证”。开发企业没有取得商品房预售许可证明而进行预售的，即可认为该商品房预售合同违反法律的强制性规定而无效，这应当是认定商品房预售合同效力的一般性原则。</w:t>
      </w:r>
    </w:p>
    <w:p>
      <w:pPr>
        <w:pStyle w:val="29"/>
        <w:spacing w:before="156"/>
        <w:ind w:firstLine="422"/>
        <w:rPr>
          <w:rFonts w:hint="eastAsia"/>
        </w:rPr>
      </w:pPr>
      <w:bookmarkStart w:id="19" w:name="_Hlk66829152"/>
      <w:r>
        <w:rPr>
          <w:rFonts w:hint="eastAsia"/>
        </w:rPr>
        <w:t>1.3.2认定商品房预售合同效力的特殊规定</w:t>
      </w:r>
    </w:p>
    <w:bookmarkEnd w:id="19"/>
    <w:p>
      <w:pPr>
        <w:pStyle w:val="31"/>
        <w:ind w:firstLine="420"/>
      </w:pPr>
      <w:r>
        <w:t>是否具有商品房预售许可证明是认定商品房预售合同效力的一般性原则，但鉴于实践中存在的各种特殊情况，法律对以上原则作了变通性的规定。</w:t>
      </w:r>
    </w:p>
    <w:p>
      <w:pPr>
        <w:pStyle w:val="31"/>
        <w:ind w:firstLine="420"/>
      </w:pPr>
      <w:r>
        <w:t>1、《中华人民共和国城市房地产管理法》颁布前的案件</w:t>
      </w:r>
    </w:p>
    <w:p>
      <w:pPr>
        <w:pStyle w:val="31"/>
        <w:ind w:firstLine="420"/>
        <w:rPr>
          <w:rFonts w:hint="eastAsia"/>
        </w:rPr>
      </w:pPr>
      <w:r>
        <w:t>《中华人民共和国城市房地产管理法》是1995年1月1日起施行的，针对《中华人民共和国城市房地产管理法》施行前的发生的一些房地产开发经营案件，1995年12月27日，最高人民法院颁布了《关于审理房地产管理法施行前房地产开发经营案件若干问题的解答》，该解答第25条规定：“商品房的预售方，没有取得土地使用权证，但投入一定的开发建设资金，进行了施工建设，预售商品房的，在一审诉讼期间补办了土地使用权证、商品房预售许可证明的，可认定预售合同有效。”因此，对于《中华人民共和国城市房地产管理法》颁布前的案件，商品房预售合同在签订时预售房虽没有取得商品房预售许可证，但在一审诉讼期间补办好的，依然可以认定该商品房预售合同有效，司法实践中对此也没有多大争议。</w:t>
      </w:r>
    </w:p>
    <w:p>
      <w:pPr>
        <w:pStyle w:val="31"/>
        <w:ind w:firstLine="420"/>
      </w:pPr>
      <w:r>
        <w:t>2、《最高人民法院关于审理商品房买卖合同纠纷案件适用法律若干问题的解释》出台后的案件</w:t>
      </w:r>
    </w:p>
    <w:p>
      <w:pPr>
        <w:pStyle w:val="31"/>
        <w:ind w:firstLine="420"/>
      </w:pPr>
      <w:r>
        <w:t>从上面的阐述已可知，在1995年1月1日《中华人民共和国城市房地产管理法》施行后，预售方没有取得商品房预售许可证而与购房者签订的预售合同应当是无效的。但2003年4月28日最高人民法院颁布的《关于审理商品房买卖合同纠纷案件适用法律若干问题的解释》对以上问题又作了新的规定，该解释第第二条规定：“出卖人未取得商品房预售许可证明，与买受人订立的商品房预售合同，应当认定无效，但是在起诉前取得商品房预售许可证明的，可以认定有效。”该规定显然是对《中华人民共和国城市房地产管理法》的扩大解释，是否合法在此暂不讨论，但在没有被撤消之前，可以作为认定商品房预售合同效力的依据。</w:t>
      </w:r>
    </w:p>
    <w:p>
      <w:pPr>
        <w:pStyle w:val="31"/>
        <w:ind w:firstLine="420"/>
      </w:pPr>
      <w:r>
        <w:t>据此，同时根据该解释第二十八条的规定：“本解释自2003年6月1日起施行。《中华人民共和国城市房地产管理法》施行后订立的商品房买卖合同发生的纠纷案件，本解释公布施行后尚在一审、二审阶段的，适用本解释。”对于《中华人民共和国城市房地产管理法》施行后订立商品房预售合同，而在2003年6月1日后尚在一审、二审阶段的，包括之后起诉的案件，在认定商品房预售合同效力时均须适用该解释第二条的规定，即出卖人在签订商品房预售合同时即使未取得商品房许可证明，但在起诉前已取得的，依然应当认定该预售合同有效。</w:t>
      </w:r>
    </w:p>
    <w:p>
      <w:pPr>
        <w:pStyle w:val="31"/>
        <w:ind w:firstLine="420"/>
      </w:pPr>
      <w:r>
        <w:t>3、预售方已取得商品房预售许可证，但不符合《中华人民共和国城市房地产管理法》规定的关于预售的实质性条件时，商品房预售合同效力的认定</w:t>
      </w:r>
    </w:p>
    <w:p>
      <w:pPr>
        <w:pStyle w:val="31"/>
        <w:ind w:firstLine="420"/>
        <w:rPr>
          <w:rFonts w:hint="eastAsia"/>
        </w:rPr>
      </w:pPr>
      <w:r>
        <w:t>在以上情况下，人民法院该如何认定商品房预售合同的效力，也就是说人民法院在认定商品房预售效力时，对出卖人的预售资格是只进行形式上的审查，还是进行实质上的审查。对于该问题，最高人民法院副院长黄松有在《就商品房买卖合同纠纷适用法律答记者问》中谈到，“法官应当注意区分司法审判权和行政管理权的不同职能，正确行使审判权。”“人民法院对出卖人资格的审查，主要看其是否取得商品房预售许可证明，对其他预售条件的审查主要是行政部门的权限。”</w:t>
      </w:r>
    </w:p>
    <w:p>
      <w:pPr>
        <w:pStyle w:val="31"/>
        <w:ind w:firstLine="420"/>
        <w:rPr>
          <w:rFonts w:hint="eastAsia"/>
        </w:rPr>
      </w:pPr>
      <w:r>
        <w:t>据此，人民法院为避免司法权与行政权之间的冲突，人民法院在认定商品房预售合同的效力时对出卖人的预售资格只进行形式上的审查，即只要出卖人取得了商品房预售许可证明，就认为出卖人具备了法律规定的预售条件。当事人对预售许可证持有异议的，只可通过行政或行政诉讼另行解决。</w:t>
      </w:r>
    </w:p>
    <w:p>
      <w:pPr>
        <w:pStyle w:val="31"/>
        <w:ind w:firstLine="420"/>
      </w:pPr>
      <w:r>
        <w:t>但笔者认为，以上规定并不合理。首先，如此规定并不能避免司法权与行政权的冲突，反而无端增加购买者的诉讼成本。如购买者已充分举证证明出卖人存在不符合《中华人民共和国城市房地产管理法》第四十四条规定的第（1）至（3）款规定的情形，出卖人取得《商品房预售许可证》完全系有关行政部门违法颁发，这时从诉讼程序上讲，购买者已完全完成了法律规定的认定商品房预售合同无效的举证责任，这时如要求购买者重新通过行政诉讼程序，再一次证明出卖人存在不符合《中华人民共和国城市房地产管理法》第四十四条规定的第（1）至（3）款规定的情形，显然是无端增加购买者的诉讼成本，而最后司法机关要避免的司法权与行政权的冲突依然无法避免，因为在行政诉讼中，依然是司法权对行政权的合法性审查，依然是司法权与行政权的正面冲突。其次，人民法院完全有能力根据购买者提供的相关证据独立判断出卖人是否具备法律规定的预售实质条件。对《中华人民共和国城市房地产管理法》第四十四条规定的第（1）至（3）款规定的条件的审查并不具有很强的房地产专业知识要求，在审理过程中法官完全有能力和条件审查。</w:t>
      </w:r>
    </w:p>
    <w:p>
      <w:pPr>
        <w:pStyle w:val="31"/>
        <w:ind w:firstLine="420"/>
        <w:rPr>
          <w:rFonts w:hint="eastAsia"/>
        </w:rPr>
      </w:pPr>
      <w:r>
        <w:t>因此，笔者认为，在预售方已取得商品房预售许可证，但不符合《中华人民共和国城市房地产管理法》规定的关于预售的实质性条件时，应当借鉴《最高人民法院、公安部关于处理道理交通事故案件有关问题的通知》第四条的规定：“当事人仅就公安机关作出的道路交通事故责任认定和伤残评定不服，向人民法院提起行政诉讼或民事诉讼的，人民法院不予受理。当事人对作出的行政处罚不服提起诉讼或就损害赔偿问题提起民事诉讼的，以及人民法院审理肇事刑事案件时，人民法院经审查认为公安机关所作出的责任认定、伤残评定确属不妥，则不予采信，以人民法院审理认定的案件事实作为定案的依据。”对出卖人预售资格的审查在无相反证据的情况下以《商品房预售许可证》为依据，同时也允许购买者举出相反的证据否定出卖人的预售资格。如法院通过审查认为出卖人确实不具备预售资格的，可以不以《商品房预售许可证》为认定出卖人预售资格的依据，直接确认预售合同因出卖人存在违反法律关于预售条件的强制性规定而无效。如果仅仅因为有行政审查的先行存在而放弃司法审查的权利，其实质是剥夺了当事人的诉讼权利，损害的不仅仅是司法利益，同时也是对当事人合法诉讼权利的损害。</w:t>
      </w:r>
    </w:p>
    <w:p>
      <w:pPr>
        <w:pStyle w:val="26"/>
        <w:spacing w:before="312" w:after="156"/>
        <w:rPr>
          <w:rFonts w:hint="eastAsia"/>
        </w:rPr>
      </w:pPr>
      <w:bookmarkStart w:id="20" w:name="_Toc182202742"/>
      <w:bookmarkStart w:id="21" w:name="_Toc66830612"/>
      <w:bookmarkStart w:id="22" w:name="_Toc182202847"/>
      <w:r>
        <w:rPr>
          <w:rFonts w:hint="eastAsia"/>
        </w:rPr>
        <w:t>第二章定金问题</w:t>
      </w:r>
      <w:bookmarkEnd w:id="20"/>
      <w:bookmarkEnd w:id="21"/>
      <w:bookmarkEnd w:id="22"/>
    </w:p>
    <w:p>
      <w:pPr>
        <w:pStyle w:val="27"/>
        <w:spacing w:before="156"/>
        <w:ind w:firstLine="562"/>
        <w:rPr>
          <w:rFonts w:hint="eastAsia"/>
        </w:rPr>
      </w:pPr>
      <w:bookmarkStart w:id="23" w:name="_Toc182202848"/>
      <w:bookmarkStart w:id="24" w:name="_Toc182202743"/>
      <w:bookmarkStart w:id="25" w:name="_Toc66830613"/>
      <w:r>
        <w:rPr>
          <w:rFonts w:hint="eastAsia"/>
        </w:rPr>
        <w:t>2.1定金概述</w:t>
      </w:r>
      <w:bookmarkEnd w:id="23"/>
      <w:bookmarkEnd w:id="24"/>
      <w:bookmarkEnd w:id="25"/>
    </w:p>
    <w:p>
      <w:pPr>
        <w:pStyle w:val="31"/>
        <w:ind w:firstLine="420"/>
        <w:rPr>
          <w:rFonts w:hint="eastAsia"/>
        </w:rPr>
      </w:pPr>
      <w:r>
        <w:rPr>
          <w:rFonts w:hint="eastAsia"/>
        </w:rPr>
        <w:t>现在很多房地产开发企业即出卖人在与买受人正式签订预售合同或房屋买卖合同之前，都自行制作了一份统一格式的认购书，要求买受人必须向其交付壹万元到两万元不等的认购订金（现大部份已改为定金），并且明确约定：如果买受人在一定期限内不与出卖人签订房屋买卖合同的，将不退还已收取的订金（或定金）。由于此时正式的购房合同条款买受人并不知晓，有些买受人甚至连房屋的基本情况都无法准确知道，而到了签订正式的房屋买卖合同时，却由于合同中有种种不平等条款，或者房屋具体结构、设计、居住环境发生变化，或者在交付使用时间、办理房产证的期限、违约责任等方面无法与出卖人达成一致意见，从而导致买受人无法与出卖人签订合同。此时买受人如果想收回订金（或定金），却又因认购书中订金（或定金）条款的约定倍感困难，极大的损害了买受人的合法权益。</w:t>
      </w:r>
    </w:p>
    <w:p>
      <w:pPr>
        <w:pStyle w:val="31"/>
        <w:ind w:firstLine="420"/>
        <w:rPr>
          <w:rFonts w:hint="eastAsia"/>
        </w:rPr>
      </w:pPr>
      <w:r>
        <w:rPr>
          <w:rFonts w:hint="eastAsia"/>
        </w:rPr>
        <w:t>为此，我们应当对出卖人所收取的订金或定金的性质作出准确的判断与认定。“定金”指在订立房屋买卖合同时，为保证合同的履行，由购房者先行向开发商交纳部分款项，待合同履行后，定金应当退回或抵作房款。购房者如不履行合同就无权索回定金。开发商如不履行合同，应当双倍返还定金。定金在《担保法》中有明确规定：当事人可约定一方向对方给付定金作为债权的担保，债权人履行债务后，定金应当抵作价款或收回。给付定金的一方不履行约定债务的，无权要求返还定金，收受定金的一方不履行约定债务的，应当双倍返还定金。并且定金应当以书面形式约定。定金的数额不得超过主合同标的额的百分之二十。</w:t>
      </w:r>
    </w:p>
    <w:p>
      <w:pPr>
        <w:pStyle w:val="27"/>
        <w:spacing w:before="156"/>
        <w:ind w:firstLine="562"/>
        <w:rPr>
          <w:rFonts w:hint="eastAsia"/>
        </w:rPr>
      </w:pPr>
      <w:bookmarkStart w:id="26" w:name="_Toc182202744"/>
      <w:bookmarkStart w:id="27" w:name="_Toc182202849"/>
      <w:bookmarkStart w:id="28" w:name="_Toc66830614"/>
      <w:r>
        <w:rPr>
          <w:rFonts w:hint="eastAsia"/>
        </w:rPr>
        <w:t>2.2定金与订金区别</w:t>
      </w:r>
      <w:bookmarkEnd w:id="26"/>
      <w:bookmarkEnd w:id="27"/>
      <w:bookmarkEnd w:id="28"/>
    </w:p>
    <w:p>
      <w:pPr>
        <w:pStyle w:val="31"/>
        <w:ind w:firstLine="420"/>
        <w:rPr>
          <w:rFonts w:hint="eastAsia"/>
        </w:rPr>
      </w:pPr>
      <w:r>
        <w:rPr>
          <w:rFonts w:hint="eastAsia"/>
        </w:rPr>
        <w:t>“订金”是指购房者与开发商就房屋买卖的意向初步达成协议后，准备进一步协商所签订的临时认购协议中约定的款项。买方支付订金之后，在约定的时间内，卖方不得再将该房屋出售给其他人，买方应在规定的时间内与卖方签订合同或支付款项。订金对合同没有担保作用，不像“定金”对违约情形有惩罚的作用。</w:t>
      </w:r>
    </w:p>
    <w:p>
      <w:pPr>
        <w:pStyle w:val="31"/>
        <w:ind w:firstLine="420"/>
        <w:rPr>
          <w:rFonts w:hint="eastAsia"/>
        </w:rPr>
      </w:pPr>
      <w:r>
        <w:rPr>
          <w:rFonts w:hint="eastAsia"/>
        </w:rPr>
        <w:t>某些情况下，在《商品房认购书》中虽然注明的是“订金”，但是，这种“订金”实际上相当于“定金”。例如当购房者选中自己满意的楼盘，与开发商达成购买的初步意向后，开发商会要求购房者签订一份《认购书》。《认购书》一般都对所购商品房的位置、面积、价款做出约定，同时还约定购房人应当交纳订金。如果买卖双方在认购书中约定了：双方未签订正式的商品房买卖合同，如因购房者违约造成，则订金不予退还，如因开发商违约，则应双倍返还订金的条款，那么，此时“订金”实际上即属于“定金”的性质，应当按照“定金罚则”进行处理。《最高人民法院关于审理商品房买卖合同纠纷案件适用法律若干问题的解释》第四条规定：“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w:t>
      </w:r>
    </w:p>
    <w:p>
      <w:pPr>
        <w:pStyle w:val="31"/>
        <w:ind w:firstLine="420"/>
        <w:rPr>
          <w:rFonts w:hint="eastAsia"/>
        </w:rPr>
      </w:pPr>
      <w:r>
        <w:rPr>
          <w:rFonts w:hint="eastAsia"/>
        </w:rPr>
        <w:t>另外建设部《商品房销售管理办法》第二十二条对签订商品房买卖合同前开发商所收取的定金或订金的问题作了规定：“不符合商品房销售条件的，房地产开发企业不得销售商品房，不得向买受人收取任何预订款性质费用。符合商品房销售条件的，房地产开发企业在订立商品房买卖合同之前向买受人收取预订款性质费用的，订立商品房买卖合同时，所收费用应当抵作房价款；当事人未能订立商品房买卖合同的，房地产开发企业应当向买受人返还所收费用；当事人之间另有约定的，从其约定”。这条是关于预订款项的规定，根据这条规定，开发商所销售的商品房不符合销售条件的，在签订商品房买卖合同之前向购房者收取定金或订金属于违法行为，均可以要求退还；如果开发商所销售的商品房符合销售条件，则要分两种情况分别对待，第一，如果购房者向开发商交付订金或其他预订款项，但双方未能就合同条款协商一致，未能签订正式的商品房买卖合同的，开发商应当退还所收取的预订款项。第二，若购房者与开发商对订金或其他预订款项另有约定，例如：开发商在《认购书》或订金收据上写明购房者在规定的时间内不签订合同或不支付首期房款则不退订金，在这种情况下则适用双方的约定。由此可见，即便是《认购书》中注明的是“订金”，但在具体纠纷中,法院应把“订金”按“定金”处理。但为了保险起见，购房人应要求开发商准确使用“定金”二字，以防被骗，同时也要慎重考虑、多方考察，不要轻易支付定金，否则是要付出代价的。</w:t>
      </w:r>
    </w:p>
    <w:p>
      <w:pPr>
        <w:pStyle w:val="31"/>
        <w:ind w:firstLine="420"/>
      </w:pPr>
    </w:p>
    <w:p>
      <w:pPr>
        <w:pStyle w:val="31"/>
        <w:ind w:firstLine="420"/>
      </w:pPr>
    </w:p>
    <w:p>
      <w:pPr>
        <w:pStyle w:val="31"/>
        <w:ind w:firstLine="420"/>
      </w:pPr>
    </w:p>
    <w:p>
      <w:pPr>
        <w:pStyle w:val="31"/>
        <w:ind w:firstLine="420"/>
      </w:pPr>
    </w:p>
    <w:p>
      <w:pPr>
        <w:pStyle w:val="31"/>
        <w:ind w:firstLine="420"/>
        <w:rPr>
          <w:rFonts w:hint="eastAsia"/>
        </w:rPr>
      </w:pPr>
    </w:p>
    <w:p>
      <w:pPr>
        <w:pStyle w:val="26"/>
        <w:spacing w:before="312" w:after="156"/>
        <w:rPr>
          <w:rFonts w:hint="eastAsia"/>
        </w:rPr>
      </w:pPr>
      <w:bookmarkStart w:id="29" w:name="_Toc66830615"/>
      <w:bookmarkStart w:id="30" w:name="_Toc182202745"/>
      <w:bookmarkStart w:id="31" w:name="_Toc182202850"/>
      <w:r>
        <w:rPr>
          <w:rFonts w:hint="eastAsia"/>
        </w:rPr>
        <w:t>第三章房屋存在质量问题解除合同的条件</w:t>
      </w:r>
      <w:bookmarkEnd w:id="29"/>
      <w:bookmarkEnd w:id="30"/>
      <w:bookmarkEnd w:id="31"/>
    </w:p>
    <w:p>
      <w:pPr>
        <w:pStyle w:val="27"/>
        <w:spacing w:before="156"/>
        <w:ind w:firstLine="562"/>
        <w:rPr>
          <w:rFonts w:hint="eastAsia"/>
        </w:rPr>
      </w:pPr>
      <w:bookmarkStart w:id="32" w:name="_Toc66830616"/>
      <w:bookmarkStart w:id="33" w:name="_Toc182202851"/>
      <w:bookmarkStart w:id="34" w:name="_Toc182202746"/>
      <w:r>
        <w:rPr>
          <w:rFonts w:hint="eastAsia"/>
        </w:rPr>
        <w:t>3.1房屋主体质量问题解除合同条件的法律依据</w:t>
      </w:r>
      <w:bookmarkEnd w:id="32"/>
      <w:bookmarkEnd w:id="33"/>
      <w:bookmarkEnd w:id="34"/>
    </w:p>
    <w:p>
      <w:pPr>
        <w:pStyle w:val="31"/>
        <w:ind w:firstLine="420"/>
        <w:rPr>
          <w:rFonts w:hint="eastAsia"/>
        </w:rPr>
      </w:pPr>
      <w:r>
        <w:rPr>
          <w:rFonts w:hint="eastAsia"/>
        </w:rPr>
        <w:t>房屋主体质量经鉴定不合格应解除合同，因法有明文规定，目前在审判实践中已是共识。但对一般房屋质量问题达到什么程度，当事人可以请求法院解除合同，实践中却存在很大分歧。最高人民法院《关于审理商品房买卖合同纠纷案件适用法律若干问题的解释》第十三条规定，因房屋质量问题严重影响正常居住使用，买受人请求解除合同和赔偿损失的，应予支持。该条显然是对《中华人民共和国合同法》第九十四条第（四）项规定的解除合同的条件，即“当事人一方迟延履行债务或者有其他违约行为致使不能实现合同目的”在商品房买卖合同中的解释和应用，但商品房质量问题到什么程度为“严重影响居住使用”？该条解释的可操作性不强，依赖于法官的自由裁量。有人认为，商品房正常的“居住使用”主要以安全为标准，只要房屋能安全的居住使用，其它质量问题不会严重影响居住使用；其他人认为，“居住使用”不仅以安全为条件，与房屋价值相应的舒适和美观亦是正常居住使用的标准，如房屋不具备与其价值相应的舒适和美观程度，亦应认定为严重影响居住使用。笔者同意第二种观点。</w:t>
      </w:r>
    </w:p>
    <w:p>
      <w:pPr>
        <w:pStyle w:val="27"/>
        <w:spacing w:before="156"/>
        <w:ind w:firstLine="562"/>
        <w:rPr>
          <w:rFonts w:hint="eastAsia"/>
        </w:rPr>
      </w:pPr>
      <w:bookmarkStart w:id="35" w:name="_Toc182202747"/>
      <w:bookmarkStart w:id="36" w:name="_Toc182202852"/>
      <w:bookmarkStart w:id="37" w:name="_Toc66830617"/>
      <w:r>
        <w:rPr>
          <w:rFonts w:hint="eastAsia"/>
        </w:rPr>
        <w:t>3.2开发商交付物业质量问题的解决方法</w:t>
      </w:r>
      <w:bookmarkEnd w:id="35"/>
      <w:bookmarkEnd w:id="36"/>
      <w:bookmarkEnd w:id="37"/>
    </w:p>
    <w:p>
      <w:pPr>
        <w:pStyle w:val="31"/>
        <w:ind w:firstLine="420"/>
        <w:rPr>
          <w:rFonts w:hint="eastAsia"/>
        </w:rPr>
      </w:pPr>
      <w:r>
        <w:rPr>
          <w:rFonts w:hint="eastAsia"/>
        </w:rPr>
        <w:t>开发商所交付的物业如存在质量问题，一般视不同情况予以处理：如果物业仅存在轻微的瑕疵，如漏水、细微裂缝等，可通过修补、给付违约金的方式补偿购房者的损失；对于存在严重质量问题，将足以影响居住者人身安全的，购房者可予以解除合同。但如果双方对物业是否存在质量问题存有争议的，仍需委托有资质的建设工程质量检测机构予以检测，以该机构出具的书面鉴定意见作为处理争议的依据。这将涉及到两个问题，即费用承担的问题和鉴定机构鉴定结论的效力问题。对此，双方当事人最好事先在预售合同中予以约定，否则，一旦发生质量问题的争议，双方不能就鉴定机构的选择和费用承担等问题达成一致的，则只能通过诉讼的途径予以解决，增添了当事人本可省却的解决争议的烦琐程序和成本支出。另外，在物业的维修期间，购房者还可能承受误工费、另行租房的损失，这也可在合同中约定由开发商承担。</w:t>
      </w:r>
    </w:p>
    <w:p>
      <w:pPr>
        <w:pStyle w:val="26"/>
        <w:spacing w:before="312" w:after="156"/>
        <w:rPr>
          <w:rFonts w:hint="eastAsia"/>
        </w:rPr>
      </w:pPr>
      <w:bookmarkStart w:id="38" w:name="_Toc182202853"/>
      <w:bookmarkStart w:id="39" w:name="_Toc66830618"/>
      <w:bookmarkStart w:id="40" w:name="_Toc182202748"/>
      <w:r>
        <w:rPr>
          <w:rFonts w:hint="eastAsia"/>
        </w:rPr>
        <w:t>第四章商品房买卖合同缔结过程中的欺诈行为和处理</w:t>
      </w:r>
      <w:bookmarkEnd w:id="38"/>
      <w:bookmarkEnd w:id="39"/>
      <w:bookmarkEnd w:id="40"/>
    </w:p>
    <w:p>
      <w:pPr>
        <w:pStyle w:val="27"/>
        <w:spacing w:before="156"/>
        <w:ind w:firstLine="562"/>
        <w:rPr>
          <w:rFonts w:hint="eastAsia"/>
        </w:rPr>
      </w:pPr>
      <w:bookmarkStart w:id="41" w:name="_Toc182202749"/>
      <w:bookmarkStart w:id="42" w:name="_Toc182202854"/>
      <w:bookmarkStart w:id="43" w:name="_Toc66830619"/>
      <w:r>
        <w:rPr>
          <w:rFonts w:hint="eastAsia"/>
        </w:rPr>
        <w:t>4.1欺诈案例</w:t>
      </w:r>
      <w:bookmarkEnd w:id="41"/>
      <w:bookmarkEnd w:id="42"/>
      <w:bookmarkEnd w:id="43"/>
    </w:p>
    <w:p>
      <w:pPr>
        <w:pStyle w:val="31"/>
        <w:ind w:firstLine="420"/>
        <w:rPr>
          <w:rFonts w:hint="eastAsia"/>
        </w:rPr>
      </w:pPr>
      <w:r>
        <w:rPr>
          <w:rFonts w:hint="eastAsia"/>
        </w:rPr>
        <w:t>欺诈行为主要可以划分为两类：即故意隐瞒真实情况和虚假陈述。在上述两种欺诈行为中，虚假陈述是作为，客观性较强，当事人举证不易，但法院认定不难，在此不作论述。对于故意隐瞒真实情况如何理解、认定和处理，则不宜确定。下面我们来看一个案例：</w:t>
      </w:r>
    </w:p>
    <w:p>
      <w:pPr>
        <w:pStyle w:val="31"/>
        <w:ind w:firstLine="420"/>
        <w:rPr>
          <w:rFonts w:hint="eastAsia"/>
        </w:rPr>
      </w:pPr>
      <w:r>
        <w:rPr>
          <w:rFonts w:hint="eastAsia"/>
        </w:rPr>
        <w:t>原告，丁某，某公司法定代表人。被告，某市某房地产开发有限公司。案由，2002年6月19日，原告代表其公司与被告签订购房合同。双方约定，原告购买被告开发的某小区商品房一套，建筑总面积110.9平方米,单价2302元/平方米,总价255292元，交房日期为2003年5月30日前，小房单价2000元/个(待交钥匙时一次交清)。付款方式为分期付款，首付30%，后凭本合同与银行订立170000元的贷款合同。签约当日原告根据约定于向被告交付了总房价30%的85292元的首付款。出卖人逾期交房的违约责任：（1）逾期不超过90日的，出卖人向买受人每日支付100元的违约金，合同继续履行；（2）超过90日的，买受人有权解除合同，出卖人应当自买受人解除合同通知到达之日起30日内退还全部已付款。</w:t>
      </w:r>
    </w:p>
    <w:p>
      <w:pPr>
        <w:pStyle w:val="31"/>
        <w:ind w:firstLine="420"/>
        <w:rPr>
          <w:rFonts w:hint="eastAsia"/>
        </w:rPr>
      </w:pPr>
      <w:r>
        <w:rPr>
          <w:rFonts w:hint="eastAsia"/>
        </w:rPr>
        <w:t>合同签订前，原告认为单独的厨房，餐厅和客厅不适合公司办公，被告遂向原告承诺可将三间房间的墙打掉，同时更改了户型图并附于合同。2002年7月，被告催促原告向银行办理贷款手续，而原告认为被告为交付设计院更改的户型图，有不能履行的危险，所以至起诉时止仍未办理贷款。2003年8月27日，交房时未按照合同中户型图建造（因要求打掉的墙是承重墙），小房也被改成车库买于他人。2004年1月原告向法院起诉。原告要求被告赔偿因迟延交房所造成的损失,即甲方在逾期交房期间的房租(从2003年6月1日至2004年1月1日共1600元/月*6=9600元)，和因未交小房将来租小房的费用(620元/年*3年=1860元)；逾期交房的违约金按合同约定每日100元计（100元*3个月*30日=9000元），以上共计20460元，并主张继续履行合同。</w:t>
      </w:r>
    </w:p>
    <w:p>
      <w:pPr>
        <w:pStyle w:val="27"/>
        <w:spacing w:before="156"/>
        <w:ind w:firstLine="562"/>
        <w:rPr>
          <w:rFonts w:hint="eastAsia"/>
        </w:rPr>
      </w:pPr>
      <w:bookmarkStart w:id="44" w:name="_Toc182202750"/>
      <w:bookmarkStart w:id="45" w:name="_Toc182202855"/>
      <w:bookmarkStart w:id="46" w:name="_Toc66830620"/>
      <w:r>
        <w:rPr>
          <w:rFonts w:hint="eastAsia"/>
        </w:rPr>
        <w:t>4.2案例分析</w:t>
      </w:r>
      <w:bookmarkEnd w:id="44"/>
      <w:bookmarkEnd w:id="45"/>
      <w:bookmarkEnd w:id="46"/>
    </w:p>
    <w:p>
      <w:pPr>
        <w:pStyle w:val="31"/>
        <w:ind w:firstLine="420"/>
        <w:rPr>
          <w:rFonts w:hint="eastAsia"/>
        </w:rPr>
      </w:pPr>
      <w:r>
        <w:rPr>
          <w:rFonts w:hint="eastAsia"/>
        </w:rPr>
        <w:t>为了确定此合同的性质，就需要界定房地产开发商更改户型图吸引原告签约的行为。根据最高人民法院的解释，欺诈是指“一方当事人故意告知对方虚假情况，或者故意隐瞒真实情况，诱使对方当事人作出错误意思表示”的行为，因欺诈而订立的合同，是在受欺诈人因欺诈行为发生错误而作出的不真实的意思表示合意。该案中，被告作为房地产开发商,应知道承重墙不能拆的规定，但其为符合原告的要求，任意更改户型图，属于“故意告知对方虚假情况”，因此具有欺诈的故意。原告因考虑了已更改的户型图纸有利于自己的工作和生活,才作出买房决定并随即与房地产开发商签约，即原告因考虑到被告告知的“虚假情况”才陷入了错误并作出了意思表示，因此被告的行为属于“诱使当事人作出错误意思表示”的行为。由于被告的行为均符合欺诈的要件，所以被告任意更改户型图吸引原告买房的行为属于合同欺诈。我国《合同法》第54条第2款规定：“一方以欺诈、胁迫的手段或乘人之危，使对方在违背真实意思的情况下订立的合同，受损害方有权请求人民法院或者仲裁机构变更或者撤消。”如受害人认为违约责任的适用对其更为有利，可要求在确认合同有效的情况下，责令欺诈行为人承担违约责任。</w:t>
      </w:r>
    </w:p>
    <w:p>
      <w:pPr>
        <w:pStyle w:val="31"/>
        <w:ind w:firstLine="420"/>
        <w:rPr>
          <w:rFonts w:hint="eastAsia"/>
        </w:rPr>
      </w:pPr>
      <w:r>
        <w:rPr>
          <w:rFonts w:hint="eastAsia"/>
        </w:rPr>
        <w:t>《合同法》第114条第一款是关于违约金的规定：“当事人可以约定一方违约时应当根据违约情况向对方支付一定数额的违约金，也可以约定因违约产生的损失赔偿额的计算方法。”由此可见，损害赔偿与支付违约金都是合同责任的主要形式。损害赔偿通常要与实际损害相符，而违约金数额与实际损失并无必然联系,即使在没有损害的情况下也应该支付违约金。对于本案，如果支付补偿性违约金（即9000元）不足以补偿原告所遭受的损失，被告还需要承担损害赔偿责任，以弥补违约金的不足部分。这时，违约金与赔偿金可以并用。但是两者并用时需以实际损失作为责任的最高限额.因为既然当事人约定的补偿性违约金未达到实际损失数额,就要使用损害赔偿，而适用损害赔偿就必须遵循损害赔偿不得超过实际损害的基本原则。所以，原告未交小房和迟延交房所造成的损失（继续租房的费用）再加上违约金的数额。如果：1、超过了实际损失，则只能按照实际损失赔偿；2、未超过实际损失，按实际相加的数额赔偿。因违约金9000元未超过实际损失11460（租房和租小房的费用），所以原告继续履约的主张应支持，但损失赔偿应按照实际损失计算，即被告应赔偿原告11460元。从这个案例可以看出，买房人不但应在合同的签订过程中要字斟酌句，把细节问题考虑得细致一点，周到一点，在合同的执行中，也要运用法律的武器保护自己的合法权益。</w:t>
      </w:r>
      <w:bookmarkStart w:id="47" w:name="_Toc182202751"/>
      <w:bookmarkStart w:id="48" w:name="_Toc182202856"/>
    </w:p>
    <w:p>
      <w:pPr>
        <w:pStyle w:val="31"/>
        <w:ind w:firstLine="420"/>
        <w:rPr>
          <w:rFonts w:hint="eastAsia"/>
        </w:rPr>
      </w:pPr>
    </w:p>
    <w:p>
      <w:pPr>
        <w:pStyle w:val="26"/>
        <w:spacing w:before="312" w:after="156"/>
        <w:rPr>
          <w:rFonts w:hint="eastAsia"/>
        </w:rPr>
      </w:pPr>
      <w:bookmarkStart w:id="49" w:name="_Toc66830621"/>
      <w:r>
        <w:rPr>
          <w:rFonts w:hint="eastAsia"/>
        </w:rPr>
        <w:t>第五章商品房认购书</w:t>
      </w:r>
      <w:bookmarkEnd w:id="47"/>
      <w:bookmarkEnd w:id="48"/>
      <w:bookmarkEnd w:id="49"/>
    </w:p>
    <w:p>
      <w:pPr>
        <w:pStyle w:val="27"/>
        <w:spacing w:before="156"/>
        <w:ind w:firstLine="562"/>
        <w:rPr>
          <w:rFonts w:hint="eastAsia"/>
        </w:rPr>
      </w:pPr>
      <w:bookmarkStart w:id="50" w:name="_Toc182202752"/>
      <w:bookmarkStart w:id="51" w:name="_Toc66830622"/>
      <w:bookmarkStart w:id="52" w:name="_Toc182202857"/>
      <w:r>
        <w:rPr>
          <w:rFonts w:hint="eastAsia"/>
        </w:rPr>
        <w:t>5.1认购书的性质</w:t>
      </w:r>
      <w:bookmarkEnd w:id="50"/>
      <w:bookmarkEnd w:id="51"/>
      <w:bookmarkEnd w:id="52"/>
    </w:p>
    <w:p>
      <w:pPr>
        <w:pStyle w:val="31"/>
        <w:ind w:firstLine="420"/>
      </w:pPr>
      <w:r>
        <w:t>认购书在实践中称谓不一，如认购意向书、购房订购单、购房预订单、订购房屋协议等等，对认购书的性质实践中认识并不一致，主要存在几种不同的观点：</w:t>
      </w:r>
    </w:p>
    <w:p>
      <w:pPr>
        <w:pStyle w:val="31"/>
        <w:ind w:firstLine="420"/>
        <w:rPr>
          <w:rFonts w:hint="eastAsia"/>
        </w:rPr>
      </w:pPr>
      <w:r>
        <w:t>第一种观点认为认购书即为商品房买卖合同。因认购书是当事人就房屋买卖所作出的真实意思表示，应具有买卖合同的效力。</w:t>
      </w:r>
    </w:p>
    <w:p>
      <w:pPr>
        <w:pStyle w:val="31"/>
        <w:ind w:firstLine="420"/>
      </w:pPr>
      <w:r>
        <w:t>第二种观点认为认购书不是独立的合同。因认购书仅是对签订正式合同相关事宜的约定。</w:t>
      </w:r>
    </w:p>
    <w:p>
      <w:pPr>
        <w:pStyle w:val="31"/>
        <w:ind w:firstLine="420"/>
        <w:rPr>
          <w:rFonts w:hint="eastAsia"/>
        </w:rPr>
      </w:pPr>
      <w:r>
        <w:t>第三种观点认为认购书属于商品房买卖合同的预约合同，是独立的合同但不是商品房买卖合同。该种观点认为，认购书是平等主体之间为设立某种民事权利义务关系而签订的协议，符合《中华人民共和国合同法》第2条关于合同定义的规定，完全可以成为独立的合同。从认购书签订的过程和约定的内容看，认购书是当事人就签订商品房买卖合同相关事宜进行的约定，是约定当事人有义务在一定期限内签订买卖合同，不是对行为结果的直接确认。所以，认购书尚不属于商品房买卖合同。</w:t>
      </w:r>
    </w:p>
    <w:p>
      <w:pPr>
        <w:pStyle w:val="31"/>
        <w:ind w:firstLine="420"/>
        <w:rPr>
          <w:rFonts w:hint="eastAsia"/>
        </w:rPr>
      </w:pPr>
      <w:r>
        <w:t>笔者赞同第三种观点，2003年4月28日最高人民法院颁布的《最高人民法院关于审理商品房买卖合同纠纷案件适用法律若干问题的解释》第四条关于认购书问题规定：“出卖人通过认购、订购、预订等方式向买受人收受定金作为订立商品房买卖合同担保的，如果因当事人一方原因未能订立商品房买卖合同，应当按照法律关于定金的规定处理；因不可归责与当事人双方的事由，导致商品房买卖合同未能订立的，出卖人应当将定金返还买受人。”该规定是对认购书的直接法律规定，也是法律第一次对其进行明确的规定。虽然该条文没有明确阐明认购书的法律性质，但从该条规定的内容分析，最高院的解释应当是认可了认购书作为预约的性质，即认为认购书与商品房买卖合同是预约与本约的关系。首先，从该条规定看，出卖人与买受人就订立商品房买卖合同而收受定金、支付定金的行为对双方均是有法律约束力的，“如果因当事人一方原因未能订立商品房买卖合同，应当按照法律关于定金的规定处理”，而该法律约束力是来自于认购书，而不是商品房买卖合同本身，可见认购书完全具有独立于商品房买卖合同之外作为一个独立的合同的法律地位。其次，该条规定认购书是作为订立商品房买卖合同的担保，也就是说其目的是为了保证将来如期订立订立商品房买卖合同，而不是直接确定双方买卖商品房的权利义务。因此，认购书和商品房买卖合同两者之间完全符合民法理论关于预约和本约的定义，对此，其他的法律人士也有相同的认识。</w:t>
      </w:r>
    </w:p>
    <w:p>
      <w:pPr>
        <w:pStyle w:val="31"/>
        <w:ind w:firstLine="420"/>
      </w:pPr>
      <w:r>
        <w:t>出卖人与买受人在签订商品房买卖合同前先行签订认购书，就房屋买卖有关事宜进行初步确认，并收取一定数量的定金，是当前商品房买卖的通常形式。但由于现行法律法规对认购书的性质与效力及其他相关问题缺乏明确的规定，导致法律实践中该类纠纷难以处理，在此有必要对这一问题作一简单的探讨。</w:t>
      </w:r>
    </w:p>
    <w:p>
      <w:pPr>
        <w:pStyle w:val="27"/>
        <w:spacing w:before="156"/>
        <w:ind w:firstLine="562"/>
        <w:rPr>
          <w:rFonts w:hint="eastAsia"/>
        </w:rPr>
      </w:pPr>
      <w:bookmarkStart w:id="53" w:name="_Toc182202858"/>
      <w:bookmarkStart w:id="54" w:name="_Toc66830623"/>
      <w:bookmarkStart w:id="55" w:name="_Toc182202753"/>
      <w:r>
        <w:rPr>
          <w:rFonts w:hint="eastAsia"/>
        </w:rPr>
        <w:t>5.2认购书的效力</w:t>
      </w:r>
      <w:bookmarkEnd w:id="53"/>
      <w:bookmarkEnd w:id="54"/>
      <w:bookmarkEnd w:id="55"/>
    </w:p>
    <w:p>
      <w:pPr>
        <w:pStyle w:val="31"/>
        <w:ind w:firstLine="420"/>
        <w:rPr>
          <w:rFonts w:hint="eastAsia"/>
        </w:rPr>
      </w:pPr>
      <w:r>
        <w:t>商品房认购书作为订立商品房买卖合同的预约，在《最高人民法院关于审理商品房买卖合同纠纷案件适用法律若干问题的解释》出台前认识也是不一致的。有的人认为，出卖人在不具备预售条件的情况下，如未取得预售许可证明，其预售商品房的资格尚未取得，按照有关规定并不能预售，采取认购书形式是一种变相的预售，是一种对法律禁止性规定的规避，应认定认购书无效。</w:t>
      </w:r>
    </w:p>
    <w:p>
      <w:pPr>
        <w:pStyle w:val="31"/>
        <w:ind w:firstLine="420"/>
      </w:pPr>
      <w:r>
        <w:t>笔者认为，该种观点之所以错误是将认购书与商品房买卖合同混同。《最高人民法院关于审理商品房买卖合同纠纷案件适用法律若干问题的解释》第五条明确规定：“商品房的认购、订购、预订等协议具备《商品房销售管理办法》第十六条规定的商品房买卖合同的主要内容，并且出卖人已经按照约定收受购房款的，该协议应当认定为商品房买卖合同。”该解释说明，商品房的认购、订购、预订等协议具备《商品房销售管理办法》第十六条规定的商品房买卖合同的主要内容，或者即使已具备，但出卖人尚未按照约定收受购房款的，不能视为是商品房买卖合同，因此，对于认购书效力的认定不能套用商品房预售合同效力认定的条件，而现行法律对认购书效力的认定没有作出特殊的规定前，认购书本身的效力认定应当只要适用合同的一般规则即可。</w:t>
      </w:r>
    </w:p>
    <w:p>
      <w:pPr>
        <w:pStyle w:val="31"/>
        <w:ind w:firstLine="420"/>
      </w:pPr>
      <w:r>
        <w:t>笔者认为，认购书是否有效应当从以下四个方面认定：（1）合同主体资格是否符合。（2）意思表示是否真实。（3）合同内容是否具体确定。（4）是否违反法律、行政法规的强制规定。以上四个方面，（1）、（2）、（4）在认定时均比较容易把握，而以（3）在实践中最难确定。认购书内容是否具体确定显然不能以《商品房销售管理办法》第十六条规定的商品房买卖合同的主要内容是否具全为判断依据，《商品房销售管理办法》第十六条是对商品房买卖合同的规定，而认购书如上所述与商品房买卖合同又是存在本质区别的，两者的认定条件显然也是不一样的。</w:t>
      </w:r>
    </w:p>
    <w:p>
      <w:pPr>
        <w:pStyle w:val="31"/>
        <w:ind w:firstLine="420"/>
        <w:rPr>
          <w:rFonts w:hint="eastAsia"/>
        </w:rPr>
      </w:pPr>
      <w:r>
        <w:t>认购书内容是否具体确定，则应当以是否能够履行、有无解释弥补的可能作为认定的基本原则，一般应当包括：（1）双方当事人的基本情况；（2）房屋基本情况（含位置、面积等）；（3）价款计算；（4）订立正式购房合同的时限约定。</w:t>
      </w:r>
    </w:p>
    <w:p>
      <w:pPr>
        <w:pStyle w:val="27"/>
        <w:spacing w:before="156"/>
        <w:ind w:firstLine="562"/>
        <w:rPr>
          <w:rFonts w:hint="eastAsia"/>
        </w:rPr>
      </w:pPr>
      <w:bookmarkStart w:id="56" w:name="_Toc182202859"/>
      <w:bookmarkStart w:id="57" w:name="_Toc66830624"/>
      <w:bookmarkStart w:id="58" w:name="_Toc182202754"/>
      <w:r>
        <w:rPr>
          <w:rFonts w:hint="eastAsia"/>
        </w:rPr>
        <w:t>5.3认购书的违约责任</w:t>
      </w:r>
      <w:bookmarkEnd w:id="56"/>
      <w:bookmarkEnd w:id="57"/>
      <w:bookmarkEnd w:id="58"/>
    </w:p>
    <w:p>
      <w:pPr>
        <w:pStyle w:val="31"/>
        <w:ind w:firstLine="420"/>
        <w:rPr>
          <w:rFonts w:hint="eastAsia"/>
        </w:rPr>
      </w:pPr>
      <w:r>
        <w:t>在最高人民的解释出台前，对于认购书的违约责任如何承担是存在不同看法的。但《最高人民法院关于审理商品房买卖合同纠纷案件适用法律若干问题的解释》第四条对此作出了明确的规定：“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该解释将认购书的定金认定为是对订立商品房买卖合同的担保，则根据《中华人民共和国担保法》第八十九条、《最高人民法院关于适用担保法若干问题的解释》第一百十五条的规定，该定金的性质应当为立约定金。根据法律关于定金的规定，在因当事人一方违反认购书约定，导致商品房买卖合同未能订立的，应按照定金罚则承担责任，即交付定金的当事人违约的，丧失取回定金的权利；收取定金的当事人一方违约的，应双倍返还对方当事人定金。如当事人双方均无违约行为的事由，如不可抗力和其他当事人意志以外的因素而导致商品房买卖合同未能订立的，收取定金的当事人一方应将定金返还个对方当事人。</w:t>
      </w:r>
    </w:p>
    <w:p>
      <w:pPr>
        <w:pStyle w:val="31"/>
        <w:ind w:firstLine="420"/>
        <w:rPr>
          <w:rFonts w:hint="eastAsia"/>
        </w:rPr>
      </w:pPr>
    </w:p>
    <w:p>
      <w:pPr>
        <w:pStyle w:val="26"/>
        <w:spacing w:before="312" w:after="156"/>
        <w:rPr>
          <w:rFonts w:hint="eastAsia"/>
        </w:rPr>
      </w:pPr>
      <w:bookmarkStart w:id="59" w:name="_Toc182202755"/>
      <w:bookmarkStart w:id="60" w:name="_Toc66830625"/>
      <w:bookmarkStart w:id="61" w:name="_Toc182202860"/>
      <w:r>
        <w:rPr>
          <w:rFonts w:hint="eastAsia"/>
        </w:rPr>
        <w:t>第六章关于商品房销售广告和宣传资料</w:t>
      </w:r>
      <w:bookmarkEnd w:id="59"/>
      <w:bookmarkEnd w:id="60"/>
      <w:bookmarkEnd w:id="61"/>
    </w:p>
    <w:p>
      <w:pPr>
        <w:pStyle w:val="27"/>
        <w:spacing w:before="156"/>
        <w:ind w:firstLine="562"/>
        <w:rPr>
          <w:rFonts w:hint="eastAsia"/>
        </w:rPr>
      </w:pPr>
      <w:bookmarkStart w:id="62" w:name="_Toc182202756"/>
      <w:bookmarkStart w:id="63" w:name="_Toc182202861"/>
      <w:bookmarkStart w:id="64" w:name="_Toc66830626"/>
      <w:r>
        <w:rPr>
          <w:rFonts w:hint="eastAsia"/>
        </w:rPr>
        <w:t>6.1广告和宣传资料性质的认定</w:t>
      </w:r>
      <w:bookmarkEnd w:id="62"/>
      <w:bookmarkEnd w:id="63"/>
      <w:bookmarkEnd w:id="64"/>
    </w:p>
    <w:p>
      <w:pPr>
        <w:pStyle w:val="31"/>
        <w:ind w:firstLine="420"/>
      </w:pPr>
      <w:r>
        <w:t>作为商品房的销售策略，开发商往往采取各种形式对其所销售的楼盘的质量、环境、设施进行宣传，而购房者也常常通过开发商制作的各类销售广告、宣传资料或其制作的楼盘整体规划模型对商品房进行了解，从而选择其认为在使用功能、价格、配套设施、周边环境等各方面均符合自身需求的楼盘，作出购房决定。目前，大约百分之九十以上的商品房买卖是通过销售广告和宣传资料进行促销的。但由于我国商品房市场管理机制尚不健全，对销售广告缺乏有效的规范管理，出卖人为获取最大利润，在进行销售时往往作出一些虚假、夸大不实的宣传，导致纠纷产生。而该纠纷争议的焦点都集中在商品房销售广告和宣传资料法律性质的认定上。</w:t>
      </w:r>
    </w:p>
    <w:p>
      <w:pPr>
        <w:pStyle w:val="31"/>
        <w:ind w:firstLine="420"/>
        <w:rPr>
          <w:rFonts w:hint="eastAsia"/>
        </w:rPr>
      </w:pPr>
      <w:r>
        <w:t>商品房销售广告属于商业广告，关于商业广告的法律性质，《中华人民共和国合同法》第十五条是这样规定的：寄送价目表，拍卖公告，招标公告，招股说明书，商业广告等均为要约邀请。商业广告内容符合要约规定的视为要约，同时该法第十四条对要约作出了如下规定：第一，内容具体确定，第二，表明经受要约人承诺，要约人即受该意思表示约束。但是虽有上述规定，如何去理解适用出卖人和买受人还是各执一词，分歧较大。出卖人主张，商品房售楼广告属于要约邀请，因为首先售楼广告是向不特定人发出的，不具备一般要约向特定人发出的要件：其次，出卖人主张售楼广告并未对售房具体内容作出具体约定，也没有表示出经受要约人一旦承诺，开发商便受广告内容约束的意思；其三，如果双方没有明确将广告内容写进合同，则广告内容不具备任何法律效力。作为买受人一方，则认为售楼广告和宣传资料是自己买房的认识基础，应该是合同一部分，特别是在商品房预售中，由于其特殊性，商品房尚未建成，开发商卖的其实是图纸、模型，买受人下定决心买房的依据、信息等都来自于开发商的宣传材料和广告，售楼广告对于最终签订购房合同起至关重要的作用。购房者往往把开发商广告宣传的内容，看作是开发商的承诺，所以开发商如果最后交房与宣传资料不一致则理应承担相关法律责任。</w:t>
      </w:r>
    </w:p>
    <w:p>
      <w:pPr>
        <w:pStyle w:val="31"/>
        <w:ind w:firstLine="420"/>
      </w:pPr>
      <w:r>
        <w:t>笔者认为，对商品房销售宣传广告的内容性质认定应根据具体情况区别处理，不能机械地将其一概作为邀约邀请。</w:t>
      </w:r>
    </w:p>
    <w:p>
      <w:pPr>
        <w:pStyle w:val="31"/>
        <w:ind w:firstLine="420"/>
      </w:pPr>
      <w:r>
        <w:t>首先，根据《合同法》第十五条第一款的规定，对商业广告的内容在原则上应认定为是一种要约邀请，更不能将未订入合同中的宣传广告内容作为合同内容看待。</w:t>
      </w:r>
    </w:p>
    <w:p>
      <w:pPr>
        <w:pStyle w:val="31"/>
        <w:ind w:firstLine="420"/>
      </w:pPr>
      <w:r>
        <w:t>其次，对在实际生活中，一些出卖人在销售广告和宣传资料中对商品房及相关设施所作的具体明确的说明和允诺的，如小区绿化率达80%、规划区内有健身房、游泳池、每单元两部电梯等内容，就应具体问题具体处理，不能简单地认定为要求邀请。根据《合同法》第十四条关于要约的规定，如果意思表示内容具体确定，并表明经受要约人承诺要约人即受该意思表示约束时，该意思表示即为要约。在实际生活中，买受人往往也正是基于出卖人在宣传资料中对房屋及相关设施所作的具体确定的说明和允诺才决定购买房屋的。如出卖人对其开发项目规划范围内的商品房及相关基础设施所作的一些说明和允诺具体确定，并对房屋价格的确定有决定作用的，足以让买受人产生信赖而签订商品房买卖合同，此时，买受人就此内容向出卖人提出订立合同的行为已使销售广告的对象和内容具有特定化，根据《合同法》第十四条关于要约的规定，该说明和允诺的内容允诺的内容应视为出卖人是向买受人发出的要约，而买卖合同的订立则为买受人对要约的承诺。</w:t>
      </w:r>
    </w:p>
    <w:p>
      <w:pPr>
        <w:pStyle w:val="31"/>
        <w:ind w:firstLine="420"/>
        <w:rPr>
          <w:rFonts w:hint="eastAsia"/>
        </w:rPr>
      </w:pPr>
      <w:r>
        <w:t>再次，从我国目前的房地产市场的现状看，出卖人在房地产市场中往往处于强势地位，商品房买卖合同均是由出卖人提供的格式合同，即使双方当事人对格式合同之外的宣传广告和内容进行协商约定</w:t>
      </w:r>
      <w:r>
        <w:rPr>
          <w:rFonts w:hint="eastAsia"/>
        </w:rPr>
        <w:t>，</w:t>
      </w:r>
      <w:r>
        <w:t>销售广告和宣传资料中的一些具体确定的说明和允诺内容也往往没有即使双方当事人对格式合同之外的宣传广告和内容进行协商约定</w:t>
      </w:r>
      <w:r>
        <w:rPr>
          <w:rFonts w:hint="eastAsia"/>
        </w:rPr>
        <w:t>，</w:t>
      </w:r>
      <w:r>
        <w:t>销售广告和宣传资料中的一些具体确定的说明和允诺内容也往往没有订入买卖合同之中。因此，从保护广大弱势群体买受人的合法权益，出卖人对其开发项目规划范围内的商品房及相关基础设施所作的一些说明和允诺具体确定，并对房屋价格的确定有决定作用的，该说明和允诺即使没有明确订立在合同之中，也应认定为合同内容。</w:t>
      </w:r>
    </w:p>
    <w:p>
      <w:pPr>
        <w:pStyle w:val="27"/>
        <w:spacing w:before="156"/>
        <w:ind w:firstLine="562"/>
        <w:rPr>
          <w:rFonts w:hint="eastAsia"/>
        </w:rPr>
      </w:pPr>
      <w:bookmarkStart w:id="65" w:name="_Toc182202862"/>
      <w:bookmarkStart w:id="66" w:name="_Toc66830627"/>
      <w:bookmarkStart w:id="67" w:name="_Toc182202757"/>
      <w:r>
        <w:rPr>
          <w:rFonts w:hint="eastAsia"/>
        </w:rPr>
        <w:t>6.2立法依据</w:t>
      </w:r>
      <w:bookmarkEnd w:id="65"/>
      <w:bookmarkEnd w:id="66"/>
      <w:bookmarkEnd w:id="67"/>
    </w:p>
    <w:p>
      <w:pPr>
        <w:pStyle w:val="31"/>
        <w:ind w:firstLine="420"/>
      </w:pPr>
      <w:r>
        <w:t>2003年4月28日最高人民法院颁布的《最高人民法院关于审理商品房买卖合同纠纷案件适用法律若干问题的解释》第三条规定：“商品房的销售广告和宣传资料为要约邀请，但是出卖人就商品房开发规划范围内的房屋及相关设施所作的说明和允诺具体确定，并对商品房买卖合同的订立以及房屋价格的确定有重大影响的，应当视为要约。该说明和允诺即使未载入商品房买卖合同，亦应当视为合同内容，当事人违反的，应当承担违约责任。”</w:t>
      </w:r>
    </w:p>
    <w:p>
      <w:pPr>
        <w:pStyle w:val="31"/>
        <w:ind w:firstLine="420"/>
        <w:rPr>
          <w:rFonts w:hint="eastAsia"/>
        </w:rPr>
      </w:pPr>
      <w:r>
        <w:t>根据以上解释的规定，买受人在商品房销售广告和宣传资料中的说明和允诺，符合以下四个条件，即可视为要约：（1）该内容是对开发规划范围内的房屋及相关设施所作的说明和允诺。如广告称房屋为混凝土结构、居住区绿地、电梯、车库、健身、购物、收视等设施齐全等，对规划范围之外的周边环境的渲染、描述等应予除外，如地铁、轻轨、水景、公园等。（2）对该房屋的说明和允诺应具体确定。如小区绿化率达到80%、每单元配有日本原装三菱电梯二部等。（3）该说明和允诺对商品房买卖合同的订立有重大影响。可谓对合同订立有重大影响比较难确定，买受人可能认为采光问题对订立合同有重大影响，也可能觉得小区里的健身设施对合同订立有重大影响，法官只有根据社会生活的一般观念及不同案件的不情况自由裁量。（4）该说明和允诺对商品房价格的确定有重大影响。房屋结构、小区重大配套设施等对建设成本有重大影响的，应当认定为对房屋价格也有重大影响。其他虽然对建设成本影响不是很大，但对购买者对房屋价格的愿意承受的程度有重大影响的，法官也可以根据不同的情况认定为对房屋价格有重大影响。</w:t>
      </w: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26"/>
        <w:spacing w:before="312" w:after="156"/>
        <w:rPr>
          <w:rFonts w:hint="eastAsia"/>
        </w:rPr>
      </w:pPr>
      <w:bookmarkStart w:id="68" w:name="_Toc182202863"/>
      <w:bookmarkStart w:id="69" w:name="_Toc66830628"/>
      <w:bookmarkStart w:id="70" w:name="_Toc182202758"/>
      <w:r>
        <w:rPr>
          <w:rFonts w:hint="eastAsia"/>
        </w:rPr>
        <w:t>参考文献</w:t>
      </w:r>
      <w:bookmarkEnd w:id="68"/>
      <w:bookmarkEnd w:id="69"/>
      <w:bookmarkEnd w:id="70"/>
    </w:p>
    <w:p>
      <w:pPr>
        <w:pStyle w:val="31"/>
        <w:ind w:firstLine="420"/>
        <w:rPr>
          <w:rFonts w:hint="eastAsia"/>
        </w:rPr>
      </w:pPr>
      <w:r>
        <w:t>[</w:t>
      </w:r>
      <w:r>
        <w:rPr>
          <w:rFonts w:hint="eastAsia"/>
        </w:rPr>
        <w:t>1</w:t>
      </w:r>
      <w:r>
        <w:t>]程信和</w:t>
      </w:r>
      <w:r>
        <w:rPr>
          <w:rFonts w:hint="eastAsia"/>
        </w:rPr>
        <w:t>，</w:t>
      </w:r>
      <w:r>
        <w:t>刘国臻</w:t>
      </w:r>
      <w:r>
        <w:rPr>
          <w:rFonts w:hint="eastAsia"/>
        </w:rPr>
        <w:t>．</w:t>
      </w:r>
      <w:r>
        <w:t>房地产</w:t>
      </w:r>
      <w:r>
        <w:fldChar w:fldCharType="begin"/>
      </w:r>
      <w:r>
        <w:instrText xml:space="preserve"> HYPERLINK "http://www.shu1000.com/paper-142-1/" </w:instrText>
      </w:r>
      <w:r>
        <w:fldChar w:fldCharType="separate"/>
      </w:r>
      <w:r>
        <w:rPr>
          <w:rStyle w:val="23"/>
        </w:rPr>
        <w:t>法学</w:t>
      </w:r>
      <w:r>
        <w:rPr>
          <w:rStyle w:val="23"/>
        </w:rPr>
        <w:fldChar w:fldCharType="end"/>
      </w:r>
      <w:r>
        <w:rPr>
          <w:rFonts w:hint="eastAsia"/>
        </w:rPr>
        <w:t>[M]．北京：</w:t>
      </w:r>
      <w:r>
        <w:t>北京大学出版社</w:t>
      </w:r>
      <w:r>
        <w:rPr>
          <w:rFonts w:hint="eastAsia"/>
        </w:rPr>
        <w:t>，</w:t>
      </w:r>
      <w:r>
        <w:t>2001</w:t>
      </w:r>
      <w:r>
        <w:rPr>
          <w:rFonts w:hint="eastAsia"/>
        </w:rPr>
        <w:t>．</w:t>
      </w:r>
    </w:p>
    <w:p>
      <w:pPr>
        <w:pStyle w:val="31"/>
        <w:ind w:firstLine="420"/>
        <w:rPr>
          <w:rFonts w:hint="eastAsia"/>
        </w:rPr>
      </w:pPr>
      <w:r>
        <w:rPr>
          <w:rFonts w:hint="eastAsia"/>
        </w:rPr>
        <w:t>[2]</w:t>
      </w:r>
      <w:r>
        <w:t>常用法律手册系列：《房地产法律手册》</w:t>
      </w:r>
      <w:r>
        <w:rPr>
          <w:rFonts w:hint="eastAsia"/>
        </w:rPr>
        <w:t>[M].北京：</w:t>
      </w:r>
      <w:r>
        <w:t>法律出版社出版，2002</w:t>
      </w:r>
      <w:r>
        <w:rPr>
          <w:rFonts w:hint="eastAsia"/>
        </w:rPr>
        <w:t>,</w:t>
      </w:r>
      <w:r>
        <w:t>9</w:t>
      </w:r>
      <w:r>
        <w:rPr>
          <w:rFonts w:hint="eastAsia"/>
        </w:rPr>
        <w:t>.</w:t>
      </w:r>
    </w:p>
    <w:p>
      <w:pPr>
        <w:pStyle w:val="31"/>
        <w:ind w:firstLine="420"/>
        <w:rPr>
          <w:rFonts w:hint="eastAsia"/>
        </w:rPr>
      </w:pPr>
      <w:r>
        <w:rPr>
          <w:rFonts w:hint="eastAsia"/>
        </w:rPr>
        <w:t>[3]</w:t>
      </w:r>
      <w:r>
        <w:t>韩延斌</w:t>
      </w:r>
      <w:r>
        <w:rPr>
          <w:rFonts w:hint="eastAsia"/>
        </w:rPr>
        <w:t>．</w:t>
      </w:r>
      <w:r>
        <w:t>《〈关于审理商品房买卖合同纠纷案件适用法律若干问题的解释〉的理解与适用》，《法律适用》2002</w:t>
      </w:r>
      <w:r>
        <w:rPr>
          <w:rFonts w:hint="eastAsia"/>
        </w:rPr>
        <w:t>．(</w:t>
      </w:r>
      <w:r>
        <w:t>6</w:t>
      </w:r>
      <w:r>
        <w:rPr>
          <w:rFonts w:hint="eastAsia"/>
        </w:rPr>
        <w:t>)．</w:t>
      </w:r>
    </w:p>
    <w:p>
      <w:pPr>
        <w:pStyle w:val="31"/>
        <w:ind w:firstLine="420"/>
        <w:rPr>
          <w:rFonts w:hint="eastAsia"/>
        </w:rPr>
      </w:pPr>
      <w:r>
        <w:rPr>
          <w:rFonts w:hint="eastAsia"/>
        </w:rPr>
        <w:t>[4]</w:t>
      </w:r>
      <w:r>
        <w:t>王伯庭</w:t>
      </w:r>
      <w:r>
        <w:rPr>
          <w:rFonts w:hint="eastAsia"/>
        </w:rPr>
        <w:t>．</w:t>
      </w:r>
      <w:r>
        <w:t>房地产疑难问题法律解析</w:t>
      </w:r>
      <w:r>
        <w:rPr>
          <w:rFonts w:hint="eastAsia"/>
        </w:rPr>
        <w:t>[M]吉林：</w:t>
      </w:r>
      <w:r>
        <w:t>吉林人民出版社出版，2002</w:t>
      </w:r>
      <w:r>
        <w:rPr>
          <w:rFonts w:hint="eastAsia"/>
        </w:rPr>
        <w:t>．</w:t>
      </w:r>
    </w:p>
    <w:p>
      <w:pPr>
        <w:pStyle w:val="31"/>
        <w:ind w:firstLine="420"/>
        <w:rPr>
          <w:rFonts w:hint="eastAsia"/>
        </w:rPr>
      </w:pPr>
      <w:r>
        <w:rPr>
          <w:rFonts w:hint="eastAsia"/>
        </w:rPr>
        <w:t>[5]</w:t>
      </w:r>
      <w:r>
        <w:t>王泽鉴</w:t>
      </w:r>
      <w:r>
        <w:rPr>
          <w:rFonts w:hint="eastAsia"/>
        </w:rPr>
        <w:t>.</w:t>
      </w:r>
      <w:r>
        <w:t>债法原理（第一册）</w:t>
      </w:r>
      <w:r>
        <w:rPr>
          <w:rFonts w:hint="eastAsia"/>
        </w:rPr>
        <w:t>[M]．北京：</w:t>
      </w:r>
      <w:r>
        <w:t>中国政法大学出版社</w:t>
      </w:r>
      <w:r>
        <w:rPr>
          <w:rFonts w:hint="eastAsia"/>
        </w:rPr>
        <w:t>，</w:t>
      </w:r>
      <w:r>
        <w:t>2001</w:t>
      </w:r>
      <w:r>
        <w:rPr>
          <w:rFonts w:hint="eastAsia"/>
        </w:rPr>
        <w:t>.</w:t>
      </w:r>
    </w:p>
    <w:p>
      <w:pPr>
        <w:pStyle w:val="31"/>
        <w:ind w:firstLine="420"/>
        <w:rPr>
          <w:rFonts w:hint="eastAsia"/>
        </w:rPr>
      </w:pPr>
      <w:r>
        <w:rPr>
          <w:rFonts w:hint="eastAsia"/>
        </w:rPr>
        <w:t>[6]</w:t>
      </w:r>
      <w:r>
        <w:t>最高人民法院副院长黄松有就商品房买卖合同纠纷适用法律司法解释答记者问</w:t>
      </w:r>
      <w:r>
        <w:rPr>
          <w:rFonts w:hint="eastAsia"/>
        </w:rPr>
        <w:t>[J].北京：</w:t>
      </w:r>
      <w:r>
        <w:t>人民法院报</w:t>
      </w:r>
      <w:r>
        <w:rPr>
          <w:rFonts w:hint="eastAsia"/>
        </w:rPr>
        <w:t>，</w:t>
      </w:r>
      <w:r>
        <w:t>2003</w:t>
      </w:r>
      <w:r>
        <w:rPr>
          <w:rFonts w:hint="eastAsia"/>
        </w:rPr>
        <w:t>，</w:t>
      </w:r>
      <w:r>
        <w:t>5</w:t>
      </w:r>
      <w:r>
        <w:rPr>
          <w:rFonts w:hint="eastAsia"/>
        </w:rPr>
        <w:t>，</w:t>
      </w:r>
      <w:r>
        <w:t>7</w:t>
      </w:r>
      <w:r>
        <w:rPr>
          <w:rFonts w:hint="eastAsia"/>
        </w:rPr>
        <w:t>.</w:t>
      </w:r>
    </w:p>
    <w:p>
      <w:pPr>
        <w:pStyle w:val="31"/>
        <w:ind w:firstLine="420"/>
        <w:rPr>
          <w:rFonts w:hint="eastAsia"/>
        </w:rPr>
      </w:pPr>
      <w:r>
        <w:rPr>
          <w:rFonts w:hint="eastAsia"/>
        </w:rPr>
        <w:t>[7]</w:t>
      </w:r>
      <w:r>
        <w:t>詹启智</w:t>
      </w:r>
      <w:r>
        <w:rPr>
          <w:rFonts w:hint="eastAsia"/>
        </w:rPr>
        <w:t>．</w:t>
      </w:r>
      <w:r>
        <w:t>商品房买卖合同中易设置的经济陷阱与防范</w:t>
      </w:r>
      <w:r>
        <w:rPr>
          <w:rFonts w:hint="eastAsia"/>
        </w:rPr>
        <w:t>[J]．北京：</w:t>
      </w:r>
      <w:r>
        <w:t>中国房地产</w:t>
      </w:r>
      <w:r>
        <w:rPr>
          <w:rFonts w:hint="eastAsia"/>
        </w:rPr>
        <w:t>，</w:t>
      </w:r>
      <w:r>
        <w:t>2002</w:t>
      </w:r>
      <w:r>
        <w:rPr>
          <w:rFonts w:hint="eastAsia"/>
        </w:rPr>
        <w:t>，（７）：</w:t>
      </w:r>
      <w:r>
        <w:t>23</w:t>
      </w:r>
      <w:r>
        <w:rPr>
          <w:rFonts w:hint="eastAsia"/>
        </w:rPr>
        <w:t>．</w:t>
      </w:r>
    </w:p>
    <w:p>
      <w:pPr>
        <w:pStyle w:val="31"/>
        <w:ind w:firstLine="420"/>
        <w:rPr>
          <w:rFonts w:hint="eastAsia"/>
        </w:rPr>
      </w:pPr>
      <w:r>
        <w:rPr>
          <w:rFonts w:hint="eastAsia"/>
        </w:rPr>
        <w:t>[8]</w:t>
      </w:r>
      <w:r>
        <w:t>杨育林</w:t>
      </w:r>
      <w:r>
        <w:rPr>
          <w:rFonts w:hint="eastAsia"/>
        </w:rPr>
        <w:t>．</w:t>
      </w:r>
      <w:r>
        <w:t>房地产案件审判要旨与判案评析</w:t>
      </w:r>
      <w:r>
        <w:rPr>
          <w:rFonts w:hint="eastAsia"/>
        </w:rPr>
        <w:t>[M]．北京：</w:t>
      </w:r>
      <w:r>
        <w:t>人民法院出版社出版，2004</w:t>
      </w:r>
      <w:r>
        <w:rPr>
          <w:rFonts w:hint="eastAsia"/>
        </w:rPr>
        <w:t>．</w:t>
      </w: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rPr>
          <w:rFonts w:hint="eastAsia"/>
        </w:rPr>
      </w:pPr>
    </w:p>
    <w:p>
      <w:pPr>
        <w:pStyle w:val="31"/>
        <w:ind w:firstLine="420"/>
      </w:pPr>
    </w:p>
    <w:p>
      <w:pPr>
        <w:pStyle w:val="31"/>
        <w:ind w:firstLine="420"/>
      </w:pPr>
    </w:p>
    <w:p>
      <w:pPr>
        <w:pStyle w:val="31"/>
        <w:ind w:firstLine="420"/>
      </w:pPr>
    </w:p>
    <w:p>
      <w:pPr>
        <w:pStyle w:val="31"/>
        <w:ind w:firstLine="420"/>
      </w:pPr>
    </w:p>
    <w:p>
      <w:pPr>
        <w:pStyle w:val="31"/>
        <w:ind w:firstLine="420"/>
      </w:pPr>
    </w:p>
    <w:p>
      <w:pPr>
        <w:pStyle w:val="31"/>
        <w:ind w:firstLine="420"/>
      </w:pPr>
    </w:p>
    <w:p>
      <w:pPr>
        <w:pStyle w:val="31"/>
        <w:ind w:firstLine="420"/>
      </w:pPr>
    </w:p>
    <w:p>
      <w:pPr>
        <w:pStyle w:val="31"/>
        <w:ind w:firstLine="420"/>
      </w:pPr>
    </w:p>
    <w:p>
      <w:pPr>
        <w:pStyle w:val="31"/>
        <w:ind w:firstLine="420"/>
      </w:pPr>
    </w:p>
    <w:p>
      <w:pPr>
        <w:pStyle w:val="31"/>
        <w:ind w:firstLine="420"/>
      </w:pPr>
    </w:p>
    <w:p>
      <w:pPr>
        <w:pStyle w:val="31"/>
        <w:ind w:firstLine="420"/>
      </w:pPr>
    </w:p>
    <w:p>
      <w:pPr>
        <w:pStyle w:val="31"/>
        <w:ind w:firstLine="420"/>
        <w:rPr>
          <w:rFonts w:hint="eastAsia"/>
        </w:rPr>
      </w:pPr>
    </w:p>
    <w:p>
      <w:pPr>
        <w:pStyle w:val="26"/>
        <w:spacing w:before="312" w:after="156"/>
        <w:rPr>
          <w:rFonts w:hint="eastAsia"/>
        </w:rPr>
      </w:pPr>
      <w:bookmarkStart w:id="71" w:name="_Toc182202759"/>
      <w:bookmarkStart w:id="72" w:name="_Toc182202864"/>
      <w:bookmarkStart w:id="73" w:name="_Toc66830629"/>
      <w:r>
        <w:rPr>
          <w:rFonts w:hint="eastAsia"/>
        </w:rPr>
        <w:t>致谢</w:t>
      </w:r>
      <w:bookmarkEnd w:id="71"/>
      <w:bookmarkEnd w:id="72"/>
      <w:bookmarkEnd w:id="73"/>
    </w:p>
    <w:p>
      <w:pPr>
        <w:pStyle w:val="31"/>
        <w:ind w:firstLine="420"/>
        <w:rPr>
          <w:rFonts w:hint="eastAsia"/>
        </w:rPr>
      </w:pPr>
    </w:p>
    <w:p>
      <w:pPr>
        <w:pStyle w:val="31"/>
        <w:ind w:firstLine="420"/>
        <w:rPr>
          <w:rFonts w:hint="eastAsia"/>
        </w:rPr>
      </w:pPr>
      <w:r>
        <w:rPr>
          <w:rFonts w:hint="eastAsia"/>
        </w:rPr>
        <w:t>在本文的写作过程中，无论是确定题目和研究方向、查阅资料，还是论文的写作，天津大学董娟老师都给予了耐心的指导和大力帮助。她在对论文的全文进行了审阅后，提出了许多宝贵的意见和修改建议。在此，特向指导老师董娟致以真诚的感谢！</w:t>
      </w:r>
    </w:p>
    <w:p>
      <w:pPr>
        <w:pStyle w:val="31"/>
        <w:ind w:firstLine="420"/>
        <w:rPr>
          <w:rFonts w:hint="eastAsia"/>
        </w:rPr>
      </w:pPr>
      <w:r>
        <w:rPr>
          <w:rFonts w:hint="eastAsia"/>
        </w:rPr>
        <w:t>另外，在写作中参阅了很多学者先辈的著作，学习到了很多房地产法律方面的知识，同样也对他们表示衷心的感谢！</w:t>
      </w:r>
    </w:p>
    <w:p>
      <w:pPr>
        <w:pStyle w:val="31"/>
        <w:ind w:firstLine="420"/>
        <w:rPr>
          <w:rFonts w:hint="eastAsia"/>
        </w:rPr>
      </w:pPr>
    </w:p>
    <w:p>
      <w:pPr>
        <w:pStyle w:val="31"/>
        <w:ind w:firstLine="420"/>
        <w:rPr>
          <w:rFonts w:hint="eastAsia"/>
        </w:rPr>
      </w:pPr>
    </w:p>
    <w:p>
      <w:pPr>
        <w:pStyle w:val="31"/>
        <w:wordWrap w:val="0"/>
        <w:ind w:right="514" w:rightChars="245" w:firstLine="420"/>
        <w:jc w:val="right"/>
        <w:rPr>
          <w:rFonts w:hint="eastAsia"/>
        </w:rPr>
      </w:pPr>
      <w:r>
        <w:rPr>
          <w:rFonts w:hint="eastAsia"/>
        </w:rPr>
        <w:t xml:space="preserve">王小宁 </w:t>
      </w:r>
      <w:r>
        <w:t xml:space="preserve">    </w:t>
      </w:r>
    </w:p>
    <w:p>
      <w:pPr>
        <w:pStyle w:val="31"/>
        <w:ind w:right="514" w:rightChars="245" w:firstLine="420"/>
        <w:jc w:val="right"/>
      </w:pPr>
      <w:r>
        <w:rPr>
          <w:rFonts w:hint="eastAsia"/>
        </w:rPr>
        <w:t>20</w:t>
      </w:r>
      <w:r>
        <w:t>2</w:t>
      </w:r>
      <w:r>
        <w:rPr>
          <w:rFonts w:hint="eastAsia"/>
        </w:rPr>
        <w:t>7年6月10日</w:t>
      </w:r>
    </w:p>
    <w:p>
      <w:pPr>
        <w:pStyle w:val="31"/>
        <w:ind w:right="514" w:rightChars="245" w:firstLine="0" w:firstLineChars="0"/>
        <w:jc w:val="left"/>
        <w:rPr>
          <w:rFonts w:hint="eastAsia"/>
        </w:rPr>
      </w:pPr>
      <w:r>
        <w:br w:type="page"/>
      </w: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851" w:footer="992" w:gutter="0"/>
      <w:pgNumType w:fmt="numberInDash" w:start="1"/>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id="0">
    <w:p>
      <w:pPr>
        <w:pStyle w:val="9"/>
        <w:rPr>
          <w:rFonts w:hint="eastAsia"/>
        </w:rPr>
      </w:pPr>
      <w:r>
        <w:rPr>
          <w:rStyle w:val="21"/>
        </w:rPr>
        <w:endnoteRef/>
      </w:r>
      <w:r>
        <w:t xml:space="preserve"> </w:t>
      </w:r>
      <w:r>
        <w:rPr>
          <w:rFonts w:hint="eastAsia"/>
          <w:sz w:val="18"/>
          <w:szCs w:val="18"/>
        </w:rPr>
        <w:t>为了保护公司商业机密，该文中所述公司名称为虚构名称。</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6157882"/>
      <w:docPartObj>
        <w:docPartGallery w:val="autotext"/>
      </w:docPartObj>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243391"/>
      <w:docPartObj>
        <w:docPartGallery w:val="autotext"/>
      </w:docPartObj>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480395"/>
      <w:docPartObj>
        <w:docPartGallery w:val="autotext"/>
      </w:docPartObj>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5255387"/>
      <w:docPartObj>
        <w:docPartGallery w:val="autotext"/>
      </w:docPartObj>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6469807"/>
      <w:docPartObj>
        <w:docPartGallery w:val="autotext"/>
      </w:docPartObj>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4"/>
        <w:rPr>
          <w:rFonts w:hint="eastAsia"/>
        </w:rPr>
      </w:pPr>
      <w:r>
        <w:footnoteRef/>
      </w:r>
      <w:r>
        <w:t xml:space="preserve"> </w:t>
      </w:r>
      <w:r>
        <w:rPr>
          <w:rFonts w:hint="eastAsia"/>
        </w:rPr>
        <w:t>根据2019年8月26日第十三届全国人民代表大会常务委员会第十二次会议《关于修改〈中华人民共和国土地管理法〉〈中华人民共和国城市房地产管理法〉的决定》第三次修正）</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r>
      <w:rPr>
        <w:rFonts w:hint="eastAsia"/>
      </w:rPr>
      <w:t>水木大学2</w:t>
    </w:r>
    <w:r>
      <w:t>02</w:t>
    </w:r>
    <w:r>
      <w:rPr>
        <w:rFonts w:hint="eastAsia"/>
        <w:lang w:val="en-US" w:eastAsia="zh-CN"/>
      </w:rPr>
      <w:t>5</w:t>
    </w:r>
    <w:bookmarkStart w:id="74" w:name="_GoBack"/>
    <w:bookmarkEnd w:id="74"/>
    <w:r>
      <w:rPr>
        <w:rFonts w:hint="eastAsia"/>
      </w:rPr>
      <w:t>级毕业论文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rFonts w:hint="eastAsia"/>
      </w:rPr>
      <w:t>一分耕耘一分收获</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xMmE1YjU5NzA3Y2YxOGNmODAzNmY2YTc3MmMxYWUifQ=="/>
  </w:docVars>
  <w:rsids>
    <w:rsidRoot w:val="00D028EE"/>
    <w:rsid w:val="00025280"/>
    <w:rsid w:val="00057529"/>
    <w:rsid w:val="000819B4"/>
    <w:rsid w:val="000927A6"/>
    <w:rsid w:val="000B6875"/>
    <w:rsid w:val="000C7D7F"/>
    <w:rsid w:val="00130786"/>
    <w:rsid w:val="00161487"/>
    <w:rsid w:val="00177375"/>
    <w:rsid w:val="001C7421"/>
    <w:rsid w:val="001D3B52"/>
    <w:rsid w:val="001D522B"/>
    <w:rsid w:val="001F3F4F"/>
    <w:rsid w:val="001F73C4"/>
    <w:rsid w:val="002267A9"/>
    <w:rsid w:val="00226CE5"/>
    <w:rsid w:val="00265106"/>
    <w:rsid w:val="002815DC"/>
    <w:rsid w:val="002A6A2B"/>
    <w:rsid w:val="002C1025"/>
    <w:rsid w:val="002F13D0"/>
    <w:rsid w:val="003419AD"/>
    <w:rsid w:val="00355DDE"/>
    <w:rsid w:val="003731E3"/>
    <w:rsid w:val="003877C4"/>
    <w:rsid w:val="003A404F"/>
    <w:rsid w:val="003E2F4E"/>
    <w:rsid w:val="004071FD"/>
    <w:rsid w:val="00444F00"/>
    <w:rsid w:val="004D6D13"/>
    <w:rsid w:val="004E0DF5"/>
    <w:rsid w:val="00567E55"/>
    <w:rsid w:val="0059277B"/>
    <w:rsid w:val="005B44A4"/>
    <w:rsid w:val="005B7852"/>
    <w:rsid w:val="005D324F"/>
    <w:rsid w:val="005E1552"/>
    <w:rsid w:val="005F6C9F"/>
    <w:rsid w:val="00611302"/>
    <w:rsid w:val="00683B61"/>
    <w:rsid w:val="00696BC5"/>
    <w:rsid w:val="00697311"/>
    <w:rsid w:val="0072776B"/>
    <w:rsid w:val="00746BEB"/>
    <w:rsid w:val="007E2701"/>
    <w:rsid w:val="007F27A7"/>
    <w:rsid w:val="0082792C"/>
    <w:rsid w:val="00834318"/>
    <w:rsid w:val="00914876"/>
    <w:rsid w:val="00970FA0"/>
    <w:rsid w:val="009A5257"/>
    <w:rsid w:val="009D628C"/>
    <w:rsid w:val="009F16CD"/>
    <w:rsid w:val="00A02407"/>
    <w:rsid w:val="00A12529"/>
    <w:rsid w:val="00A32D29"/>
    <w:rsid w:val="00A36F7E"/>
    <w:rsid w:val="00A445AC"/>
    <w:rsid w:val="00A71725"/>
    <w:rsid w:val="00A85288"/>
    <w:rsid w:val="00AA7A3B"/>
    <w:rsid w:val="00B14CA3"/>
    <w:rsid w:val="00B22798"/>
    <w:rsid w:val="00B736AE"/>
    <w:rsid w:val="00B91B5A"/>
    <w:rsid w:val="00BA36AE"/>
    <w:rsid w:val="00BC67A6"/>
    <w:rsid w:val="00C129A5"/>
    <w:rsid w:val="00C439A3"/>
    <w:rsid w:val="00C5136D"/>
    <w:rsid w:val="00C61219"/>
    <w:rsid w:val="00C658E9"/>
    <w:rsid w:val="00C9275D"/>
    <w:rsid w:val="00CA4CA8"/>
    <w:rsid w:val="00CA74DE"/>
    <w:rsid w:val="00CC577C"/>
    <w:rsid w:val="00D028EE"/>
    <w:rsid w:val="00D10CB7"/>
    <w:rsid w:val="00D15373"/>
    <w:rsid w:val="00D60417"/>
    <w:rsid w:val="00D85F27"/>
    <w:rsid w:val="00DE5117"/>
    <w:rsid w:val="00E0695F"/>
    <w:rsid w:val="00E17578"/>
    <w:rsid w:val="00E3315F"/>
    <w:rsid w:val="00E6187D"/>
    <w:rsid w:val="00E70670"/>
    <w:rsid w:val="00E82907"/>
    <w:rsid w:val="00E93B78"/>
    <w:rsid w:val="00EA30B9"/>
    <w:rsid w:val="00EB1A86"/>
    <w:rsid w:val="00EB4D4C"/>
    <w:rsid w:val="00ED3CCA"/>
    <w:rsid w:val="00ED4384"/>
    <w:rsid w:val="00EE5339"/>
    <w:rsid w:val="00EF0EF7"/>
    <w:rsid w:val="00EF6F13"/>
    <w:rsid w:val="00F30985"/>
    <w:rsid w:val="00F40FF3"/>
    <w:rsid w:val="00F413B6"/>
    <w:rsid w:val="00F95A09"/>
    <w:rsid w:val="00FD08A7"/>
    <w:rsid w:val="00FD5295"/>
    <w:rsid w:val="199E2A0C"/>
    <w:rsid w:val="274006AA"/>
    <w:rsid w:val="48692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qFormat="1" w:uiPriority="39" w:name="toc 4"/>
    <w:lsdException w:uiPriority="39" w:name="toc 5"/>
    <w:lsdException w:uiPriority="39" w:name="toc 6"/>
    <w:lsdException w:uiPriority="39" w:name="toc 7"/>
    <w:lsdException w:qFormat="1" w:uiPriority="39" w:name="toc 8"/>
    <w:lsdException w:qFormat="1"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20">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unhideWhenUsed/>
    <w:uiPriority w:val="39"/>
    <w:pPr>
      <w:ind w:left="1260"/>
      <w:jc w:val="left"/>
    </w:pPr>
    <w:rPr>
      <w:rFonts w:ascii="等线" w:eastAsia="等线"/>
      <w:sz w:val="18"/>
      <w:szCs w:val="18"/>
    </w:rPr>
  </w:style>
  <w:style w:type="paragraph" w:styleId="4">
    <w:name w:val="Document Map"/>
    <w:basedOn w:val="1"/>
    <w:semiHidden/>
    <w:unhideWhenUsed/>
    <w:qFormat/>
    <w:uiPriority w:val="99"/>
    <w:pPr>
      <w:shd w:val="clear" w:color="auto" w:fill="000080"/>
    </w:pPr>
  </w:style>
  <w:style w:type="paragraph" w:styleId="5">
    <w:name w:val="toc 5"/>
    <w:basedOn w:val="1"/>
    <w:next w:val="1"/>
    <w:semiHidden/>
    <w:unhideWhenUsed/>
    <w:uiPriority w:val="39"/>
    <w:pPr>
      <w:ind w:left="840"/>
      <w:jc w:val="left"/>
    </w:pPr>
    <w:rPr>
      <w:rFonts w:ascii="等线" w:eastAsia="等线"/>
      <w:sz w:val="18"/>
      <w:szCs w:val="18"/>
    </w:rPr>
  </w:style>
  <w:style w:type="paragraph" w:styleId="6">
    <w:name w:val="toc 3"/>
    <w:basedOn w:val="1"/>
    <w:next w:val="1"/>
    <w:semiHidden/>
    <w:unhideWhenUsed/>
    <w:qFormat/>
    <w:uiPriority w:val="39"/>
    <w:pPr>
      <w:ind w:left="420"/>
      <w:jc w:val="left"/>
    </w:pPr>
    <w:rPr>
      <w:rFonts w:ascii="等线" w:eastAsia="等线"/>
      <w:i/>
      <w:iCs/>
      <w:sz w:val="20"/>
      <w:szCs w:val="20"/>
    </w:rPr>
  </w:style>
  <w:style w:type="paragraph" w:styleId="7">
    <w:name w:val="toc 8"/>
    <w:basedOn w:val="1"/>
    <w:next w:val="1"/>
    <w:semiHidden/>
    <w:unhideWhenUsed/>
    <w:qFormat/>
    <w:uiPriority w:val="39"/>
    <w:pPr>
      <w:ind w:left="1470"/>
      <w:jc w:val="left"/>
    </w:pPr>
    <w:rPr>
      <w:rFonts w:ascii="等线" w:eastAsia="等线"/>
      <w:sz w:val="18"/>
      <w:szCs w:val="18"/>
    </w:rPr>
  </w:style>
  <w:style w:type="paragraph" w:styleId="8">
    <w:name w:val="Date"/>
    <w:basedOn w:val="1"/>
    <w:next w:val="1"/>
    <w:link w:val="39"/>
    <w:semiHidden/>
    <w:unhideWhenUsed/>
    <w:qFormat/>
    <w:uiPriority w:val="99"/>
    <w:pPr>
      <w:ind w:left="100" w:leftChars="2500"/>
    </w:pPr>
  </w:style>
  <w:style w:type="paragraph" w:styleId="9">
    <w:name w:val="endnote text"/>
    <w:basedOn w:val="1"/>
    <w:link w:val="38"/>
    <w:semiHidden/>
    <w:unhideWhenUsed/>
    <w:qFormat/>
    <w:uiPriority w:val="99"/>
    <w:pPr>
      <w:snapToGrid w:val="0"/>
      <w:jc w:val="left"/>
    </w:pPr>
  </w:style>
  <w:style w:type="paragraph" w:styleId="10">
    <w:name w:val="footer"/>
    <w:basedOn w:val="1"/>
    <w:link w:val="41"/>
    <w:semiHidden/>
    <w:unhideWhenUsed/>
    <w:qFormat/>
    <w:uiPriority w:val="99"/>
    <w:pPr>
      <w:tabs>
        <w:tab w:val="center" w:pos="4153"/>
        <w:tab w:val="right" w:pos="8306"/>
      </w:tabs>
      <w:snapToGrid w:val="0"/>
      <w:jc w:val="left"/>
    </w:pPr>
    <w:rPr>
      <w:sz w:val="18"/>
      <w:szCs w:val="18"/>
    </w:rPr>
  </w:style>
  <w:style w:type="paragraph" w:styleId="11">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pPr>
      <w:tabs>
        <w:tab w:val="right" w:leader="dot" w:pos="8302"/>
      </w:tabs>
      <w:spacing w:before="120" w:after="120" w:line="500" w:lineRule="exact"/>
      <w:jc w:val="left"/>
    </w:pPr>
    <w:rPr>
      <w:rFonts w:ascii="等线" w:eastAsia="等线"/>
      <w:b/>
      <w:bCs/>
      <w:caps/>
      <w:sz w:val="20"/>
      <w:szCs w:val="20"/>
    </w:rPr>
  </w:style>
  <w:style w:type="paragraph" w:styleId="13">
    <w:name w:val="toc 4"/>
    <w:basedOn w:val="1"/>
    <w:next w:val="1"/>
    <w:semiHidden/>
    <w:unhideWhenUsed/>
    <w:qFormat/>
    <w:uiPriority w:val="39"/>
    <w:pPr>
      <w:ind w:left="630"/>
      <w:jc w:val="left"/>
    </w:pPr>
    <w:rPr>
      <w:rFonts w:ascii="等线" w:eastAsia="等线"/>
      <w:sz w:val="18"/>
      <w:szCs w:val="18"/>
    </w:rPr>
  </w:style>
  <w:style w:type="paragraph" w:styleId="14">
    <w:name w:val="footnote text"/>
    <w:basedOn w:val="1"/>
    <w:link w:val="37"/>
    <w:semiHidden/>
    <w:unhideWhenUsed/>
    <w:qFormat/>
    <w:uiPriority w:val="99"/>
    <w:pPr>
      <w:snapToGrid w:val="0"/>
      <w:jc w:val="left"/>
    </w:pPr>
    <w:rPr>
      <w:sz w:val="18"/>
      <w:szCs w:val="18"/>
    </w:rPr>
  </w:style>
  <w:style w:type="paragraph" w:styleId="15">
    <w:name w:val="toc 6"/>
    <w:basedOn w:val="1"/>
    <w:next w:val="1"/>
    <w:semiHidden/>
    <w:unhideWhenUsed/>
    <w:uiPriority w:val="39"/>
    <w:pPr>
      <w:ind w:left="1050"/>
      <w:jc w:val="left"/>
    </w:pPr>
    <w:rPr>
      <w:rFonts w:ascii="等线" w:eastAsia="等线"/>
      <w:sz w:val="18"/>
      <w:szCs w:val="18"/>
    </w:rPr>
  </w:style>
  <w:style w:type="paragraph" w:styleId="16">
    <w:name w:val="toc 2"/>
    <w:basedOn w:val="1"/>
    <w:next w:val="1"/>
    <w:semiHidden/>
    <w:unhideWhenUsed/>
    <w:qFormat/>
    <w:uiPriority w:val="39"/>
    <w:pPr>
      <w:ind w:left="210"/>
      <w:jc w:val="left"/>
    </w:pPr>
    <w:rPr>
      <w:rFonts w:ascii="等线" w:eastAsia="等线"/>
      <w:smallCaps/>
      <w:sz w:val="20"/>
      <w:szCs w:val="20"/>
    </w:rPr>
  </w:style>
  <w:style w:type="paragraph" w:styleId="17">
    <w:name w:val="toc 9"/>
    <w:basedOn w:val="1"/>
    <w:next w:val="1"/>
    <w:semiHidden/>
    <w:unhideWhenUsed/>
    <w:qFormat/>
    <w:uiPriority w:val="39"/>
    <w:pPr>
      <w:ind w:left="1680"/>
      <w:jc w:val="left"/>
    </w:pPr>
    <w:rPr>
      <w:rFonts w:ascii="等线" w:eastAsia="等线"/>
      <w:sz w:val="18"/>
      <w:szCs w:val="18"/>
    </w:rPr>
  </w:style>
  <w:style w:type="paragraph" w:styleId="18">
    <w:name w:val="Normal (Web)"/>
    <w:basedOn w:val="1"/>
    <w:semiHidden/>
    <w:unhideWhenUsed/>
    <w:qFormat/>
    <w:uiPriority w:val="99"/>
    <w:pPr>
      <w:widowControl/>
      <w:spacing w:before="100" w:beforeAutospacing="1" w:after="100" w:afterAutospacing="1"/>
      <w:jc w:val="left"/>
    </w:pPr>
    <w:rPr>
      <w:rFonts w:ascii="宋体" w:hAnsi="宋体" w:cs="宋体"/>
      <w:color w:val="000000"/>
      <w:kern w:val="0"/>
      <w:sz w:val="18"/>
      <w:szCs w:val="18"/>
    </w:rPr>
  </w:style>
  <w:style w:type="character" w:styleId="21">
    <w:name w:val="endnote reference"/>
    <w:basedOn w:val="20"/>
    <w:semiHidden/>
    <w:unhideWhenUsed/>
    <w:qFormat/>
    <w:uiPriority w:val="99"/>
    <w:rPr>
      <w:vertAlign w:val="superscript"/>
    </w:rPr>
  </w:style>
  <w:style w:type="character" w:styleId="22">
    <w:name w:val="page number"/>
    <w:basedOn w:val="20"/>
    <w:semiHidden/>
    <w:unhideWhenUsed/>
    <w:uiPriority w:val="99"/>
  </w:style>
  <w:style w:type="character" w:styleId="23">
    <w:name w:val="Hyperlink"/>
    <w:semiHidden/>
    <w:unhideWhenUsed/>
    <w:qFormat/>
    <w:uiPriority w:val="99"/>
    <w:rPr>
      <w:color w:val="000000"/>
      <w:u w:val="none"/>
    </w:rPr>
  </w:style>
  <w:style w:type="character" w:styleId="24">
    <w:name w:val="footnote reference"/>
    <w:basedOn w:val="20"/>
    <w:semiHidden/>
    <w:unhideWhenUsed/>
    <w:qFormat/>
    <w:uiPriority w:val="99"/>
    <w:rPr>
      <w:vertAlign w:val="superscript"/>
    </w:rPr>
  </w:style>
  <w:style w:type="character" w:customStyle="1" w:styleId="25">
    <w:name w:val="content"/>
    <w:basedOn w:val="20"/>
    <w:qFormat/>
    <w:uiPriority w:val="0"/>
  </w:style>
  <w:style w:type="paragraph" w:customStyle="1" w:styleId="26">
    <w:name w:val="毕业论文-章标题"/>
    <w:basedOn w:val="1"/>
    <w:link w:val="28"/>
    <w:qFormat/>
    <w:uiPriority w:val="0"/>
    <w:pPr>
      <w:adjustRightInd w:val="0"/>
      <w:snapToGrid w:val="0"/>
      <w:spacing w:before="100" w:beforeLines="100" w:after="50" w:afterLines="50"/>
      <w:jc w:val="center"/>
      <w:outlineLvl w:val="0"/>
    </w:pPr>
    <w:rPr>
      <w:rFonts w:eastAsia="黑体"/>
      <w:b/>
      <w:sz w:val="36"/>
    </w:rPr>
  </w:style>
  <w:style w:type="paragraph" w:customStyle="1" w:styleId="27">
    <w:name w:val="毕业论文-节标题"/>
    <w:basedOn w:val="1"/>
    <w:link w:val="30"/>
    <w:qFormat/>
    <w:uiPriority w:val="0"/>
    <w:pPr>
      <w:adjustRightInd w:val="0"/>
      <w:snapToGrid w:val="0"/>
      <w:spacing w:before="50" w:beforeLines="50" w:line="340" w:lineRule="exact"/>
      <w:ind w:firstLine="200" w:firstLineChars="200"/>
      <w:jc w:val="left"/>
      <w:outlineLvl w:val="1"/>
    </w:pPr>
    <w:rPr>
      <w:b/>
      <w:sz w:val="28"/>
    </w:rPr>
  </w:style>
  <w:style w:type="character" w:customStyle="1" w:styleId="28">
    <w:name w:val="毕业论文-章标题 字符"/>
    <w:link w:val="26"/>
    <w:qFormat/>
    <w:uiPriority w:val="0"/>
    <w:rPr>
      <w:rFonts w:eastAsia="黑体"/>
      <w:b/>
      <w:kern w:val="2"/>
      <w:sz w:val="36"/>
      <w:szCs w:val="24"/>
    </w:rPr>
  </w:style>
  <w:style w:type="paragraph" w:customStyle="1" w:styleId="29">
    <w:name w:val="毕业论文-三级标题"/>
    <w:basedOn w:val="1"/>
    <w:link w:val="32"/>
    <w:qFormat/>
    <w:uiPriority w:val="0"/>
    <w:pPr>
      <w:spacing w:before="50" w:beforeLines="50" w:line="340" w:lineRule="exact"/>
      <w:ind w:firstLine="200" w:firstLineChars="200"/>
      <w:jc w:val="left"/>
      <w:outlineLvl w:val="2"/>
    </w:pPr>
    <w:rPr>
      <w:b/>
    </w:rPr>
  </w:style>
  <w:style w:type="character" w:customStyle="1" w:styleId="30">
    <w:name w:val="毕业论文-节标题 字符"/>
    <w:link w:val="27"/>
    <w:qFormat/>
    <w:uiPriority w:val="0"/>
    <w:rPr>
      <w:b/>
      <w:kern w:val="2"/>
      <w:sz w:val="28"/>
      <w:szCs w:val="24"/>
    </w:rPr>
  </w:style>
  <w:style w:type="paragraph" w:customStyle="1" w:styleId="31">
    <w:name w:val="毕业论文-正文"/>
    <w:basedOn w:val="1"/>
    <w:link w:val="34"/>
    <w:qFormat/>
    <w:uiPriority w:val="0"/>
    <w:pPr>
      <w:spacing w:line="340" w:lineRule="exact"/>
      <w:ind w:firstLine="200" w:firstLineChars="200"/>
    </w:pPr>
  </w:style>
  <w:style w:type="character" w:customStyle="1" w:styleId="32">
    <w:name w:val="毕业论文-三级标题 字符"/>
    <w:link w:val="29"/>
    <w:qFormat/>
    <w:uiPriority w:val="0"/>
    <w:rPr>
      <w:b/>
      <w:kern w:val="2"/>
      <w:sz w:val="21"/>
      <w:szCs w:val="24"/>
    </w:rPr>
  </w:style>
  <w:style w:type="paragraph" w:styleId="33">
    <w:name w:val="No Spacing"/>
    <w:link w:val="35"/>
    <w:qFormat/>
    <w:uiPriority w:val="1"/>
    <w:rPr>
      <w:rFonts w:ascii="等线" w:hAnsi="等线" w:eastAsia="等线" w:cs="Times New Roman"/>
      <w:sz w:val="22"/>
      <w:szCs w:val="22"/>
      <w:lang w:val="en-US" w:eastAsia="zh-CN" w:bidi="ar-SA"/>
    </w:rPr>
  </w:style>
  <w:style w:type="character" w:customStyle="1" w:styleId="34">
    <w:name w:val="毕业论文-正文 字符"/>
    <w:link w:val="31"/>
    <w:qFormat/>
    <w:uiPriority w:val="0"/>
    <w:rPr>
      <w:kern w:val="2"/>
      <w:sz w:val="21"/>
      <w:szCs w:val="24"/>
    </w:rPr>
  </w:style>
  <w:style w:type="character" w:customStyle="1" w:styleId="35">
    <w:name w:val="无间隔 字符"/>
    <w:link w:val="33"/>
    <w:qFormat/>
    <w:uiPriority w:val="1"/>
    <w:rPr>
      <w:rFonts w:ascii="等线" w:hAnsi="等线" w:eastAsia="等线"/>
      <w:sz w:val="22"/>
      <w:szCs w:val="22"/>
    </w:rPr>
  </w:style>
  <w:style w:type="table" w:customStyle="1" w:styleId="36">
    <w:name w:val="日历 3"/>
    <w:basedOn w:val="19"/>
    <w:qFormat/>
    <w:uiPriority w:val="99"/>
    <w:pPr>
      <w:jc w:val="right"/>
    </w:pPr>
    <w:rPr>
      <w:rFonts w:ascii="等线 Light" w:hAnsi="等线 Light" w:eastAsia="等线 Light"/>
      <w:color w:val="000000"/>
      <w:sz w:val="22"/>
      <w:szCs w:val="22"/>
    </w:rPr>
    <w:tblStylePr w:type="firstRow">
      <w:pPr>
        <w:wordWrap/>
        <w:jc w:val="right"/>
      </w:pPr>
      <w:rPr>
        <w:color w:val="4472C4"/>
        <w:sz w:val="44"/>
      </w:rPr>
    </w:tblStylePr>
    <w:tblStylePr w:type="firstCol">
      <w:rPr>
        <w:color w:val="4472C4"/>
      </w:rPr>
    </w:tblStylePr>
    <w:tblStylePr w:type="lastCol">
      <w:rPr>
        <w:color w:val="4472C4"/>
      </w:rPr>
    </w:tblStylePr>
  </w:style>
  <w:style w:type="character" w:customStyle="1" w:styleId="37">
    <w:name w:val="脚注文本 字符"/>
    <w:basedOn w:val="20"/>
    <w:link w:val="14"/>
    <w:qFormat/>
    <w:uiPriority w:val="0"/>
    <w:rPr>
      <w:kern w:val="2"/>
      <w:sz w:val="18"/>
      <w:szCs w:val="18"/>
    </w:rPr>
  </w:style>
  <w:style w:type="character" w:customStyle="1" w:styleId="38">
    <w:name w:val="尾注文本 字符"/>
    <w:basedOn w:val="20"/>
    <w:link w:val="9"/>
    <w:qFormat/>
    <w:uiPriority w:val="0"/>
    <w:rPr>
      <w:kern w:val="2"/>
      <w:sz w:val="21"/>
      <w:szCs w:val="24"/>
    </w:rPr>
  </w:style>
  <w:style w:type="character" w:customStyle="1" w:styleId="39">
    <w:name w:val="日期 字符"/>
    <w:basedOn w:val="20"/>
    <w:link w:val="8"/>
    <w:qFormat/>
    <w:uiPriority w:val="0"/>
    <w:rPr>
      <w:kern w:val="2"/>
      <w:sz w:val="21"/>
      <w:szCs w:val="24"/>
    </w:rPr>
  </w:style>
  <w:style w:type="character" w:customStyle="1" w:styleId="40">
    <w:name w:val="Unresolved Mention"/>
    <w:basedOn w:val="20"/>
    <w:semiHidden/>
    <w:unhideWhenUsed/>
    <w:qFormat/>
    <w:uiPriority w:val="99"/>
    <w:rPr>
      <w:color w:val="605E5C"/>
      <w:shd w:val="clear" w:color="auto" w:fill="E1DFDD"/>
    </w:rPr>
  </w:style>
  <w:style w:type="character" w:customStyle="1" w:styleId="41">
    <w:name w:val="页脚 字符"/>
    <w:basedOn w:val="20"/>
    <w:link w:val="10"/>
    <w:qFormat/>
    <w:uiPriority w:val="99"/>
    <w:rPr>
      <w:kern w:val="2"/>
      <w:sz w:val="18"/>
      <w:szCs w:val="18"/>
    </w:rPr>
  </w:style>
  <w:style w:type="paragraph" w:customStyle="1" w:styleId="42">
    <w:name w:val="分类号"/>
    <w:basedOn w:val="1"/>
    <w:qFormat/>
    <w:uiPriority w:val="0"/>
    <w:rPr>
      <w:rFonts w:ascii="仿宋_GB2312" w:eastAsia="仿宋_GB2312"/>
      <w:sz w:val="28"/>
      <w:szCs w:val="28"/>
    </w:rPr>
  </w:style>
  <w:style w:type="paragraph" w:customStyle="1" w:styleId="43">
    <w:name w:val="封面日期"/>
    <w:basedOn w:val="1"/>
    <w:qFormat/>
    <w:uiPriority w:val="0"/>
    <w:pPr>
      <w:jc w:val="center"/>
    </w:pPr>
    <w:rPr>
      <w:rFonts w:ascii="黑体" w:eastAsia="黑体"/>
      <w:sz w:val="32"/>
      <w:szCs w:val="32"/>
    </w:rPr>
  </w:style>
  <w:style w:type="paragraph" w:customStyle="1" w:styleId="44">
    <w:name w:val="论文标题"/>
    <w:basedOn w:val="1"/>
    <w:qFormat/>
    <w:uiPriority w:val="0"/>
    <w:pPr>
      <w:jc w:val="center"/>
    </w:pPr>
    <w:rPr>
      <w:rFonts w:eastAsia="楷体_GB2312"/>
      <w:b/>
      <w:kern w:val="36"/>
      <w:sz w:val="52"/>
      <w:szCs w:val="52"/>
    </w:rPr>
  </w:style>
  <w:style w:type="paragraph" w:customStyle="1" w:styleId="45">
    <w:name w:val="硕士学位论文"/>
    <w:basedOn w:val="1"/>
    <w:qFormat/>
    <w:uiPriority w:val="0"/>
    <w:pPr>
      <w:spacing w:before="240"/>
      <w:jc w:val="center"/>
    </w:pPr>
    <w:rPr>
      <w:sz w:val="44"/>
      <w:szCs w:val="44"/>
    </w:rPr>
  </w:style>
  <w:style w:type="paragraph" w:customStyle="1" w:styleId="46">
    <w:name w:val="研究生姓名"/>
    <w:basedOn w:val="1"/>
    <w:qFormat/>
    <w:uiPriority w:val="0"/>
    <w:pPr>
      <w:ind w:firstLine="700" w:firstLineChars="700"/>
    </w:pPr>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sectNamePr val="lengthwise1"/>
      <sectRole val="1"/>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verPageProperties xmlns="http://schemas.microsoft.com/office/2006/coverPageProps">
  <PublishDate>2031-06-15T00:00:00</PublishDate>
  <Abstract/>
  <CompanyAddress>水木大学本科毕业论文</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5579E-78E8-4B95-BC87-C60F0EFC8B15}">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14781</Words>
  <Characters>15075</Characters>
  <Lines>1</Lines>
  <Paragraphs>1</Paragraphs>
  <TotalTime>2</TotalTime>
  <ScaleCrop>false</ScaleCrop>
  <LinksUpToDate>false</LinksUpToDate>
  <CharactersWithSpaces>15216</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2019-12-26T09:26:00Z</dcterms:created>
  <dc:creator>xiaofei li</dc:creator>
  <cp:lastModifiedBy>lihongying</cp:lastModifiedBy>
  <dcterms:modified xsi:type="dcterms:W3CDTF">2025-08-26T03:55:02Z</dcterms:modified>
  <dc:subject>土木工程系 2028级1班 王小宁</dc:subject>
  <dc:title>商品房买卖中几个问题的探讨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10EF9F22A2574EE6A19F91314346D895</vt:lpwstr>
  </property>
</Properties>
</file>